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739619.xml.htm"/>
      <w:bookmarkStart w:id="1" w:name="kswkform4_178673961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Sharma Pooja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150 BAYTECH DR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JOSE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95134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PROCEPT BioRobotics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PRCT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Strat/Marketing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23,622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111,181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21.95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32,681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08/12/2036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32,681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32,681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securities are restricted stock units (RSUs). Each RSU represents a contingent right to receive one share of Common Stock. One-quarter of the RSUs shall vest on August 13, 2027, with one-sixteenth of the remaining RSUs vesting quarterly over 36 months, subject to the Reporting Person continuing as a service provider through such date. The grant is intended to be 50% of the value of the Reporting Person's expected 2027 grant, and made in lieu of such portion of the expected 2027 grant.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1/48th of the shares subject to the Stock Option shall vest monthly from the vesting commencement date of August 13, 2026, over a four year period, subject continued employment or service by the Reporting Person to the Issuer through the applicable vesting date. The grant is intended to be 50% of the value of the Reporting Person's expected 2027 grant, and made in lieu of such portion of the expected 2027 grant.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Jonathan Stone, Attorney-in-Fact for Pooja Sharma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31636" TargetMode="External"/><Relationship Id="rId5" Type="http://schemas.openxmlformats.org/officeDocument/2006/relationships/hyperlink" Target="http://www.sec.gov/cgi-bin/browse-edgar?action=getcompany&amp;CIK=000158897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740</Words>
  <Characters>3940</Characters>
  <CharactersWithSpaces>4599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