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356427.xml.htm"/>
      <w:bookmarkStart w:id="1" w:name="kswkform4_17863564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Wood Larry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PROCEPT BIOROBOTICS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BAYTECH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PROCEPT BioRobotics Corp</w:t>
              </w:r>
            </w:hyperlink>
            <w:r>
              <w:rPr/>
              <w:t xml:space="preserve"> [ </w:t>
            </w:r>
            <w:r>
              <w:rPr>
                <w:rFonts w:ascii="Times;serif" w:hAnsi="Times;serif"/>
                <w:color w:val="0000FF"/>
                <w:sz w:val="24"/>
                <w:shd w:fill="FFFFFF" w:val="clear"/>
              </w:rPr>
              <w:t>PRCT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95"/>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20.85</w:t>
            </w:r>
            <w:r>
              <w:rPr>
                <w:rFonts w:ascii="Times;serif" w:hAnsi="Times;serif"/>
                <w:color w:val="008000"/>
                <w:position w:val="7"/>
                <w:sz w:val="16"/>
                <w:sz w:val="20"/>
                <w:shd w:fill="FFFFFF" w:val="clear"/>
              </w:rPr>
              <w:t>(1)</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23,900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Larry Wood Trust</w:t>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314,203</w:t>
            </w:r>
            <w:r>
              <w:rPr>
                <w:rFonts w:ascii="Times;serif" w:hAnsi="Times;serif"/>
                <w:color w:val="008000"/>
                <w:position w:val="7"/>
                <w:sz w:val="16"/>
                <w:sz w:val="20"/>
                <w:shd w:fill="FFFFFF" w:val="clear"/>
              </w:rPr>
              <w:t>(2)</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$20.67 to $21.02,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825 shares acquired on May 14, 2026, under the Issuer's 2021 Employee Stock Purchase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Stone, as Attorney-in-Fact for Larry Wood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40660" TargetMode="External"/><Relationship Id="rId5" Type="http://schemas.openxmlformats.org/officeDocument/2006/relationships/hyperlink" Target="http://www.sec.gov/cgi-bin/browse-edgar?action=getcompany&amp;CIK=00015889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669</Words>
  <Characters>3627</Characters>
  <CharactersWithSpaces>4222</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