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Baytech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232-7200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241"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816"/>
        <w:gridCol w:w="816"/>
        <w:gridCol w:w="1157"/>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0"/>
        </w:rPr>
        <w:t xml:space="preserve">Item 1.01 </w:t>
      </w:r>
      <w:r>
        <w:rPr>
          <w:rFonts w:ascii="Times New Roman;serif" w:hAnsi="Times New Roman;serif"/>
          <w:b/>
          <w:color w:val="000000"/>
          <w:sz w:val="20"/>
          <w:shd w:fill="FFFFFF" w:val="clear"/>
        </w:rPr>
        <w:t>Entry into a Material Definitive Agreement</w:t>
      </w:r>
      <w:r>
        <w:rPr>
          <w:color w:val="000000"/>
        </w:rPr>
        <w:t xml:space="preserve">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23, 2026, PROCEPT BioRobotics Corporation (the “Company”) entered into a Third Amendment to Loan and Security Agreement (the “Third Amendment”) with Canadian Imperial Bank of Commerce (“CIBC”), which amends the Loan and Security Agreement, dated as of October 6, 2022, by and between the Company and CIBC, as previously amended by the First Amendment to Loan and Security Agreement, dated as of June 1, 2023, and the Second Amendment to Loan and Security Agreement, dated as of August 6, 2025 (as amended, the “Loan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Third Amendment extends the Term Loan Maturity Date under the Loan Agreement by 12 months, from October 1, 2027 to October 1, 2028.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than as set forth above, the Loan Agreement remains in full force and effect and continues to be subject to the same affirmative covenants and negative covenants as previously disclosed.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Third Amendment does not purport to be complete and is qualified in its entirety by reference to the full text of the Third Amendment, which is filed as Exhibit 10.1 to this Current Report on Form 8-K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6"/>
        <w:gridCol w:w="2606"/>
        <w:gridCol w:w="372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101proceptbioroboti.htm">
              <w:r>
                <w:rPr>
                  <w:rStyle w:val="InternetLink"/>
                  <w:rFonts w:ascii="Times New Roman;serif" w:hAnsi="Times New Roman;serif"/>
                  <w:b w:val="false"/>
                  <w:color w:val="000080"/>
                  <w:sz w:val="20"/>
                  <w:u w:val="single"/>
                </w:rPr>
                <w:t>Third</w:t>
              </w:r>
            </w:hyperlink>
            <w:hyperlink w:anchor="exhibit101proceptbioroboti.htm">
              <w:r>
                <w:rPr>
                  <w:rStyle w:val="InternetLink"/>
                  <w:rFonts w:ascii="Times New Roman;serif" w:hAnsi="Times New Roman;serif"/>
                  <w:b w:val="false"/>
                  <w:color w:val="000080"/>
                  <w:sz w:val="20"/>
                  <w:u w:val="single"/>
                </w:rPr>
                <w:t xml:space="preserve"> Amendment to Loan and Security Agreement, by and between Canadian Imperial Bank of Commerce and the Registrant, dated as of </w:t>
              </w:r>
            </w:hyperlink>
            <w:hyperlink w:anchor="exhibit101proceptbioroboti.htm">
              <w:r>
                <w:rPr>
                  <w:rStyle w:val="InternetLink"/>
                  <w:rFonts w:ascii="Times New Roman;serif" w:hAnsi="Times New Roman;serif"/>
                  <w:b w:val="false"/>
                  <w:color w:val="000080"/>
                  <w:sz w:val="20"/>
                  <w:u w:val="single"/>
                </w:rPr>
                <w:t xml:space="preserve">September </w:t>
              </w:r>
            </w:hyperlink>
            <w:hyperlink w:anchor="exhibit101proceptbioroboti.htm">
              <w:r>
                <w:rPr>
                  <w:rStyle w:val="InternetLink"/>
                  <w:rFonts w:ascii="Times New Roman;serif" w:hAnsi="Times New Roman;serif"/>
                  <w:b w:val="false"/>
                  <w:color w:val="000080"/>
                  <w:sz w:val="20"/>
                  <w:u w:val="single"/>
                </w:rPr>
                <w:t>23</w:t>
              </w:r>
            </w:hyperlink>
            <w:hyperlink w:anchor="exhibit101proceptbioroboti.htm">
              <w:r>
                <w:rPr>
                  <w:rStyle w:val="InternetLink"/>
                  <w:rFonts w:ascii="Times New Roman;serif" w:hAnsi="Times New Roman;serif"/>
                  <w:b w:val="false"/>
                  <w:color w:val="000080"/>
                  <w:sz w:val="20"/>
                  <w:u w:val="single"/>
                </w:rPr>
                <w:t>, 202</w:t>
              </w:r>
            </w:hyperlink>
            <w:hyperlink w:anchor="exhibit101proceptbioroboti.htm">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w:t>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7714" w:type="dxa"/>
        <w:jc w:val="left"/>
        <w:tblInd w:w="0" w:type="dxa"/>
        <w:tblLayout w:type="fixed"/>
        <w:tblCellMar>
          <w:top w:w="28" w:type="dxa"/>
          <w:left w:w="28" w:type="dxa"/>
          <w:bottom w:w="28" w:type="dxa"/>
          <w:right w:w="28" w:type="dxa"/>
        </w:tblCellMar>
      </w:tblPr>
      <w:tblGrid>
        <w:gridCol w:w="804"/>
        <w:gridCol w:w="704"/>
        <w:gridCol w:w="711"/>
        <w:gridCol w:w="109"/>
        <w:gridCol w:w="109"/>
        <w:gridCol w:w="109"/>
        <w:gridCol w:w="623"/>
        <w:gridCol w:w="623"/>
        <w:gridCol w:w="623"/>
        <w:gridCol w:w="964"/>
        <w:gridCol w:w="964"/>
        <w:gridCol w:w="1371"/>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September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Alaleh Nouri</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Alaleh Nouri</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EVP, 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THIRD AMENDMENT TO</w:t>
        <w:br/>
        <w:t>LOAN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Third Amendment to Loan and Security Agreement is entered into as of September 23, 2026 (the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is entered into between CANADIAN IMPERIAL BANK OF COMMERCE (“</w:t>
      </w:r>
      <w:r>
        <w:rPr>
          <w:rFonts w:ascii="Times New Roman;serif" w:hAnsi="Times New Roman;serif"/>
          <w:b/>
          <w:color w:val="000000"/>
          <w:sz w:val="20"/>
        </w:rPr>
        <w:t>Bank</w:t>
      </w:r>
      <w:r>
        <w:rPr>
          <w:color w:val="000000"/>
        </w:rPr>
        <w:t>”</w:t>
      </w:r>
      <w:r>
        <w:rPr>
          <w:rFonts w:ascii="Times New Roman;serif" w:hAnsi="Times New Roman;serif"/>
          <w:b w:val="false"/>
          <w:color w:val="000000"/>
          <w:sz w:val="20"/>
        </w:rPr>
        <w:t>) and PROCEPT BIOROBOTICS CORPORATION, a Delaware corporation (“</w:t>
      </w:r>
      <w:r>
        <w:rPr>
          <w:rFonts w:ascii="Times New Roman;serif" w:hAnsi="Times New Roman;serif"/>
          <w:b/>
          <w:color w:val="000000"/>
          <w:sz w:val="20"/>
        </w:rPr>
        <w:t>Borrower Representative</w:t>
      </w:r>
      <w:r>
        <w:rPr>
          <w:color w:val="000000"/>
        </w:rPr>
        <w:t>”</w:t>
      </w:r>
      <w:r>
        <w:rPr>
          <w:rFonts w:ascii="Times New Roman;serif" w:hAnsi="Times New Roman;serif"/>
          <w:b w:val="false"/>
          <w:color w:val="000000"/>
          <w:sz w:val="20"/>
        </w:rPr>
        <w: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0"/>
        </w:rPr>
        <w:t>A.    Borrower and Bank are parties to that certain Loan and Security Agreement, dated as of October 6, 2022, (as amended by that certain First Amendment to Loan and Security Agreement, dated as of June 1, 2023, that certain Second Amendment to Loan and Security Agreement, dated as of August 6, 2025, and as further amended from time to time, the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parties desire to amend the terms of the Agreement as set forth in this Amendment.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AGREEMENT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the parties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0"/>
        </w:rPr>
        <w:t>1.    </w:t>
      </w:r>
      <w:r>
        <w:rPr>
          <w:rFonts w:ascii="Times New Roman;serif" w:hAnsi="Times New Roman;serif"/>
          <w:b/>
          <w:color w:val="000000"/>
          <w:sz w:val="20"/>
        </w:rPr>
        <w:t>Definitions</w:t>
      </w:r>
      <w:r>
        <w:rPr>
          <w:rFonts w:ascii="Times New Roman;serif" w:hAnsi="Times New Roman;serif"/>
          <w:b w:val="false"/>
          <w:color w:val="000000"/>
          <w:sz w:val="20"/>
        </w:rPr>
        <w:t xml:space="preserve">. Capitalized terms used but not defined in this Amendment shall have the respective meanings given to them in the Agreement. </w:t>
      </w:r>
    </w:p>
    <w:p>
      <w:pPr>
        <w:pStyle w:val="TextBody"/>
        <w:bidi w:val="0"/>
        <w:spacing w:lineRule="auto" w:line="288" w:before="0" w:after="240"/>
        <w:ind w:left="0" w:right="0" w:firstLine="720"/>
        <w:jc w:val="both"/>
        <w:rPr/>
      </w:pPr>
      <w:r>
        <w:rPr>
          <w:rFonts w:ascii="Times New Roman;serif" w:hAnsi="Times New Roman;serif"/>
          <w:b w:val="false"/>
          <w:color w:val="000000"/>
          <w:sz w:val="20"/>
        </w:rPr>
        <w:t>2.    </w:t>
      </w:r>
      <w:r>
        <w:rPr>
          <w:rFonts w:ascii="Times New Roman;serif" w:hAnsi="Times New Roman;serif"/>
          <w:b/>
          <w:color w:val="000000"/>
          <w:sz w:val="20"/>
        </w:rPr>
        <w:t>Amendment</w:t>
      </w:r>
      <w:r>
        <w:rPr>
          <w:rFonts w:ascii="Times New Roman;serif" w:hAnsi="Times New Roman;serif"/>
          <w:b w:val="false"/>
          <w:color w:val="000000"/>
          <w:sz w:val="20"/>
        </w:rPr>
        <w:t>.</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2.1    Exhibit A of the Agreement is hereby amended by amending and restating the following term: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0"/>
        </w:rPr>
        <w:t>Term Loan Maturity Date</w:t>
      </w:r>
      <w:r>
        <w:rPr>
          <w:color w:val="000000"/>
        </w:rPr>
        <w:t xml:space="preserve">” </w:t>
      </w:r>
      <w:r>
        <w:rPr>
          <w:rFonts w:ascii="Times New Roman;serif" w:hAnsi="Times New Roman;serif"/>
          <w:b w:val="false"/>
          <w:color w:val="000000"/>
          <w:sz w:val="20"/>
        </w:rPr>
        <w:t>means the 72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Payment Date following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3.    </w:t>
      </w:r>
      <w:r>
        <w:rPr>
          <w:rFonts w:ascii="Times New Roman;serif" w:hAnsi="Times New Roman;serif"/>
          <w:b/>
          <w:color w:val="000000"/>
          <w:sz w:val="20"/>
        </w:rPr>
        <w:t>Limitation of Amendments</w:t>
      </w:r>
      <w:r>
        <w:rPr>
          <w:rFonts w:ascii="Times New Roman;serif" w:hAnsi="Times New Roman;serif"/>
          <w:b w:val="false"/>
          <w:color w:val="000000"/>
          <w:sz w:val="20"/>
        </w:rPr>
        <w:t xml:space="preserve">. The amendment set forth in </w:t>
      </w:r>
      <w:r>
        <w:rPr>
          <w:rFonts w:ascii="Times New Roman;serif" w:hAnsi="Times New Roman;serif"/>
          <w:b w:val="false"/>
          <w:color w:val="000000"/>
          <w:sz w:val="20"/>
          <w:u w:val="single"/>
        </w:rPr>
        <w:t>Section 2</w:t>
      </w:r>
      <w:r>
        <w:rPr>
          <w:color w:val="000000"/>
        </w:rPr>
        <w:t xml:space="preserve"> </w:t>
      </w:r>
      <w:r>
        <w:rPr>
          <w:rFonts w:ascii="Times New Roman;serif" w:hAnsi="Times New Roman;serif"/>
          <w:b w:val="false"/>
          <w:color w:val="000000"/>
          <w:sz w:val="20"/>
        </w:rPr>
        <w:t xml:space="preserve">above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 Except as modified by this Amendment, the Loan Documents remain in full force and effect and are hereby reaffirmed. </w:t>
      </w:r>
    </w:p>
    <w:p>
      <w:pPr>
        <w:pStyle w:val="TextBody"/>
        <w:bidi w:val="0"/>
        <w:spacing w:lineRule="auto" w:line="288" w:before="0" w:after="240"/>
        <w:ind w:left="0" w:right="0" w:firstLine="720"/>
        <w:jc w:val="both"/>
        <w:rPr/>
      </w:pPr>
      <w:r>
        <w:rPr>
          <w:rFonts w:ascii="Times New Roman;serif" w:hAnsi="Times New Roman;serif"/>
          <w:b w:val="false"/>
          <w:color w:val="000000"/>
          <w:sz w:val="20"/>
        </w:rPr>
        <w:t>4.    </w:t>
      </w:r>
      <w:r>
        <w:rPr>
          <w:rFonts w:ascii="Times New Roman;serif" w:hAnsi="Times New Roman;serif"/>
          <w:b/>
          <w:color w:val="000000"/>
          <w:sz w:val="20"/>
        </w:rPr>
        <w:t>Obligations</w:t>
      </w:r>
      <w:r>
        <w:rPr>
          <w:rFonts w:ascii="Times New Roman;serif" w:hAnsi="Times New Roman;serif"/>
          <w:b w:val="false"/>
          <w:color w:val="000000"/>
          <w:sz w:val="20"/>
        </w:rPr>
        <w:t xml:space="preserve">. The Loan Parties hereby acknowledge that the Obligations are due and owing as set forth in the Agreement to Bank without setoff, recoupment, defense or counterclaim, in law or in equity, of any nature or kind. All guarantees and security interests granted to Bank under any Loan Document are hereby reaffirmed by each Loan Party and shall continue without novation. Except as expressly set forth herein, the terms of the Loan Documents remain in effect. This Amendment is a Loan Document. </w:t>
      </w:r>
    </w:p>
    <w:p>
      <w:pPr>
        <w:pStyle w:val="TextBody"/>
        <w:bidi w:val="0"/>
        <w:spacing w:lineRule="auto" w:line="288" w:before="0" w:after="240"/>
        <w:ind w:left="0" w:right="0" w:firstLine="720"/>
        <w:jc w:val="both"/>
        <w:rPr/>
      </w:pPr>
      <w:r>
        <w:rPr>
          <w:rFonts w:ascii="Times New Roman;serif" w:hAnsi="Times New Roman;serif"/>
          <w:b w:val="false"/>
          <w:color w:val="000000"/>
          <w:sz w:val="20"/>
        </w:rPr>
        <w:t>5.    </w:t>
      </w:r>
      <w:r>
        <w:rPr>
          <w:rFonts w:ascii="Times New Roman;serif" w:hAnsi="Times New Roman;serif"/>
          <w:b/>
          <w:color w:val="000000"/>
          <w:sz w:val="20"/>
        </w:rPr>
        <w:t>Representations</w:t>
      </w:r>
      <w:r>
        <w:rPr>
          <w:rFonts w:ascii="Times New Roman;serif" w:hAnsi="Times New Roman;serif"/>
          <w:b w:val="false"/>
          <w:color w:val="000000"/>
          <w:sz w:val="20"/>
        </w:rPr>
        <w:t>. To induce Bank to enter into this Amendment, each Loan Party represents and warrants as follows:</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5.1    The representations and warranties contained in the Agreement and the other Loan Documents, are true and correct in all material respects as of the date of this Amendment (except for such representations and warranties referring to another date, which representations and warranties are true and correct in all material respects as of such date). </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5.2    No Event of Default has occurred and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5.3    Each Loan Party has the power and authority to execute and deliver this Amendment and to perform its obligations under the Agreement, as amended by this Amendment.</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5.4    The execution and delivery by each Loan Party of this Amendment and the performance by each Loan Party of the obligations under the Loan Documents as amended by this Amendment, (a) have been duly authorized by all necessary action on the part of the applicable Loan Party, and (b) (i) will not conflict with the organizational documents of such Loan Party, (ii) will not contravene, conflict with or violate any material Requirement of Law, (iii) will not contravene, conflict with or violate any applicable order, writ, judgment, injunction, determination or award of any Governmental Authority by which a Loan Party or any of its Subsidiaries or their property or assets may be bound or affected, (iv) will not require any action by, filing, registration, or qualification or Governmental Approval from, any Governmental Authority (except such governmental approvals which have already been obtained and are in full force and effect), or (v) will not conflict with, contravene, or constitute a default under or result in or permit the termination or acceleration of any agreement by which any Loan Party is bound, in each case except as could not reasonably be expected to result in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5.5    This Amendment has been duly executed and delivered by the Loan Parties party thereto, and constitutes the valid and binding obligation of the Loan Parties party thereto, enforceable against such Loan Party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lineRule="auto" w:line="288" w:before="0" w:after="240"/>
        <w:ind w:left="0" w:right="0" w:firstLine="720"/>
        <w:jc w:val="both"/>
        <w:rPr/>
      </w:pPr>
      <w:r>
        <w:rPr>
          <w:rFonts w:ascii="Times New Roman;serif" w:hAnsi="Times New Roman;serif"/>
          <w:b w:val="false"/>
          <w:color w:val="000000"/>
          <w:sz w:val="20"/>
        </w:rPr>
        <w:t>6.    </w:t>
      </w:r>
      <w:r>
        <w:rPr>
          <w:rFonts w:ascii="Times New Roman;serif" w:hAnsi="Times New Roman;serif"/>
          <w:b/>
          <w:color w:val="000000"/>
          <w:sz w:val="20"/>
        </w:rPr>
        <w:t>Conditions</w:t>
      </w:r>
      <w:r>
        <w:rPr>
          <w:rFonts w:ascii="Times New Roman;serif" w:hAnsi="Times New Roman;serif"/>
          <w:b w:val="false"/>
          <w:color w:val="000000"/>
          <w:sz w:val="20"/>
        </w:rPr>
        <w:t>. As a condition to the effectiveness of this Amendment, Bank shall have received the following:</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(a)    this Amendment, duly executed by the Loan Parties and Bank; </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(b)    payment by Borrower Representative to Bank of a non-refundable extension amendment fee in the amount of Twenty-Six Thousand Dollars ($26,000.00), which fee shall be fully earned and non-refundable as of the date hereof; and </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(c)    all reasonable and documented Bank Expenses incurred in connection with this Amendment. </w:t>
      </w:r>
    </w:p>
    <w:p>
      <w:pPr>
        <w:pStyle w:val="TextBody"/>
        <w:bidi w:val="0"/>
        <w:spacing w:lineRule="auto" w:line="288" w:before="0" w:after="240"/>
        <w:ind w:left="0" w:right="0" w:firstLine="720"/>
        <w:jc w:val="both"/>
        <w:rPr/>
      </w:pPr>
      <w:r>
        <w:rPr>
          <w:rFonts w:ascii="Times New Roman;serif" w:hAnsi="Times New Roman;serif"/>
          <w:b w:val="false"/>
          <w:color w:val="000000"/>
          <w:sz w:val="20"/>
        </w:rPr>
        <w:t>7.    </w:t>
      </w:r>
      <w:r>
        <w:rPr>
          <w:rFonts w:ascii="Times New Roman;serif" w:hAnsi="Times New Roman;serif"/>
          <w:b/>
          <w:color w:val="000000"/>
          <w:sz w:val="20"/>
        </w:rPr>
        <w:t>Counterparts; Electronic Execution of Documents</w:t>
      </w:r>
      <w:r>
        <w:rPr>
          <w:rFonts w:ascii="Times New Roman;serif" w:hAnsi="Times New Roman;serif"/>
          <w:b w:val="false"/>
          <w:color w:val="000000"/>
          <w:sz w:val="20"/>
        </w:rPr>
        <w:t xml:space="preserve">. This Amendment may be executed in any number of counterparts and by different parties on separate counterparts, each of which, when executed and delivered, is an original, and all taken together, constitute one Agreement.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 as the case may be, to the extent and as provided for in any applicable law, including, without limitation, any state law based on the Uniform Electronic Transactions Act. Delivery of an executed counterpart of a signature page of this Amendment or any document delivered in connection therewith by electronic means, including by email delivery of a “.pdf” format data file, shall be effective as delivery of an original executed counterpart thereof. </w:t>
      </w:r>
    </w:p>
    <w:p>
      <w:pPr>
        <w:pStyle w:val="TextBody"/>
        <w:bidi w:val="0"/>
        <w:spacing w:lineRule="auto" w:line="288" w:before="0" w:after="240"/>
        <w:ind w:left="0" w:right="0" w:firstLine="720"/>
        <w:jc w:val="both"/>
        <w:rPr/>
      </w:pPr>
      <w:r>
        <w:rPr>
          <w:rFonts w:ascii="Times New Roman;serif" w:hAnsi="Times New Roman;serif"/>
          <w:b w:val="false"/>
          <w:color w:val="000000"/>
          <w:sz w:val="20"/>
        </w:rPr>
        <w:t>8.    </w:t>
      </w:r>
      <w:r>
        <w:rPr>
          <w:rFonts w:ascii="Times New Roman;serif" w:hAnsi="Times New Roman;serif"/>
          <w:b/>
          <w:color w:val="000000"/>
          <w:sz w:val="20"/>
        </w:rPr>
        <w:t>Choice of Law, Venue and Jury Trial Waivers</w:t>
      </w:r>
      <w:r>
        <w:rPr>
          <w:rFonts w:ascii="Times New Roman;serif" w:hAnsi="Times New Roman;serif"/>
          <w:b w:val="false"/>
          <w:color w:val="000000"/>
          <w:sz w:val="20"/>
        </w:rPr>
        <w:t>. The provisions of Section 11 of the Agreement are hereby incorporated into this Amendment as if fully set forth herein, mutatis mutandis.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THIRD AMENDMENT TO LOAN AND SECURITY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Amendment to be executed as of the first date above written.</w:t>
      </w:r>
    </w:p>
    <w:p>
      <w:pPr>
        <w:pStyle w:val="TextBody"/>
        <w:bidi w:val="0"/>
        <w:spacing w:lineRule="auto" w:line="288" w:before="240" w:after="283"/>
        <w:jc w:val="left"/>
        <w:rPr/>
      </w:pPr>
      <w:r>
        <w:rPr>
          <w:rFonts w:ascii="Times New Roman;serif" w:hAnsi="Times New Roman;serif"/>
          <w:b w:val="false"/>
          <w:color w:val="000000"/>
          <w:sz w:val="20"/>
          <w:u w:val="single"/>
        </w:rPr>
        <w:t>BORROWER REPRESENTATIVE</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PROCEPT BIOROBOTICS CORPORATION</w:t>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Kevin Waters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Name: Kevin Waters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Title: EVP, Chief Financial Officer</w:t>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0"/>
          <w:u w:val="single"/>
        </w:rPr>
        <w:t>BANK</w:t>
      </w:r>
      <w:r>
        <w:rPr>
          <w:rFonts w:ascii="Times New Roman;serif" w:hAnsi="Times New Roman;serif"/>
          <w:b w:val="false"/>
          <w:color w:val="000000"/>
          <w:sz w:val="2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CANADIAN IMPERIAL BANK OF COMMERCE</w:t>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/s/Vidur Parmar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Name: Vidur Parmar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Title: Assistant General Manager</w:t>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Sarah Perkins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Name: Sarah Perkins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Title: Assistant General Manager</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1682</Words>
  <Characters>8967</Characters>
  <CharactersWithSpaces>10639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