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001-40797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PROCEPT BioRobotics Corporation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209" w:type="dxa"/>
        <w:jc w:val="left"/>
        <w:tblInd w:w="0" w:type="dxa"/>
        <w:tblLayout w:type="fixed"/>
        <w:tblCellMar>
          <w:top w:w="28" w:type="dxa"/>
          <w:left w:w="28" w:type="dxa"/>
          <w:bottom w:w="28" w:type="dxa"/>
          <w:right w:w="28" w:type="dxa"/>
        </w:tblCellMar>
      </w:tblPr>
      <w:tblGrid>
        <w:gridCol w:w="1795"/>
        <w:gridCol w:w="1577"/>
        <w:gridCol w:w="1593"/>
        <w:gridCol w:w="279"/>
        <w:gridCol w:w="279"/>
        <w:gridCol w:w="281"/>
        <w:gridCol w:w="125"/>
        <w:gridCol w:w="125"/>
        <w:gridCol w:w="126"/>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26-0199180</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2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80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150 Baytech Drive</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San Jose</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95134</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2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232-7200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104" w:type="dxa"/>
        <w:jc w:val="left"/>
        <w:tblInd w:w="0" w:type="dxa"/>
        <w:tblLayout w:type="fixed"/>
        <w:tblCellMar>
          <w:top w:w="28" w:type="dxa"/>
          <w:left w:w="28" w:type="dxa"/>
          <w:bottom w:w="28" w:type="dxa"/>
          <w:right w:w="28" w:type="dxa"/>
        </w:tblCellMar>
      </w:tblPr>
      <w:tblGrid>
        <w:gridCol w:w="1369"/>
        <w:gridCol w:w="1198"/>
        <w:gridCol w:w="1213"/>
        <w:gridCol w:w="539"/>
        <w:gridCol w:w="539"/>
        <w:gridCol w:w="541"/>
        <w:gridCol w:w="1085"/>
        <w:gridCol w:w="1085"/>
        <w:gridCol w:w="1535"/>
      </w:tblGrid>
      <w:tr>
        <w:trPr/>
        <w:tc>
          <w:tcPr>
            <w:tcW w:w="13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$0.00001 par value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PRCT</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57,273,659 shares of common stock as of July 31,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PROCEPT BioRobotics Corporation </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Form 10-Q – QUARTERLY REPORT </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9299" w:type="dxa"/>
        <w:jc w:val="left"/>
        <w:tblInd w:w="0" w:type="dxa"/>
        <w:tblLayout w:type="fixed"/>
        <w:tblCellMar>
          <w:top w:w="28" w:type="dxa"/>
          <w:left w:w="28" w:type="dxa"/>
          <w:bottom w:w="28" w:type="dxa"/>
          <w:right w:w="28" w:type="dxa"/>
        </w:tblCellMar>
      </w:tblPr>
      <w:tblGrid>
        <w:gridCol w:w="293"/>
        <w:gridCol w:w="258"/>
        <w:gridCol w:w="258"/>
        <w:gridCol w:w="2453"/>
        <w:gridCol w:w="2453"/>
        <w:gridCol w:w="2459"/>
        <w:gridCol w:w="329"/>
        <w:gridCol w:w="329"/>
        <w:gridCol w:w="46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2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ff86d053f8f4dd4b5e0eb43b72bf96c_13">
              <w:r>
                <w:rPr>
                  <w:rStyle w:val="InternetLink"/>
                  <w:rFonts w:ascii="Times New Roman;serif" w:hAnsi="Times New Roman;serif"/>
                  <w:b w:val="false"/>
                  <w:color w:val="0000FF"/>
                  <w:sz w:val="20"/>
                  <w:u w:val="single"/>
                </w:rPr>
                <w:t>Part I. Financial Information</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6">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6">
              <w:r>
                <w:rPr>
                  <w:rStyle w:val="InternetLink"/>
                  <w:rFonts w:ascii="Times New Roman;serif" w:hAnsi="Times New Roman;serif"/>
                  <w:b w:val="false"/>
                  <w:color w:val="0000FF"/>
                  <w:sz w:val="20"/>
                  <w:u w:val="single"/>
                </w:rPr>
                <w:t>Condensed Consolidated Financial Statements (unaudited)</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9">
              <w:r>
                <w:rPr>
                  <w:rStyle w:val="InternetLink"/>
                  <w:rFonts w:ascii="Times New Roman;serif" w:hAnsi="Times New Roman;serif"/>
                  <w:b w:val="false"/>
                  <w:color w:val="0000FF"/>
                  <w:sz w:val="20"/>
                  <w:u w:val="single"/>
                </w:rPr>
                <w:t>4</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9">
              <w:r>
                <w:rPr>
                  <w:rStyle w:val="InternetLink"/>
                  <w:rFonts w:ascii="Times New Roman;serif" w:hAnsi="Times New Roman;serif"/>
                  <w:b w:val="false"/>
                  <w:color w:val="0000FF"/>
                  <w:sz w:val="20"/>
                  <w:u w:val="single"/>
                </w:rPr>
                <w:t>Condensed Consolidated Balance Sheets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9">
              <w:r>
                <w:rPr>
                  <w:rStyle w:val="InternetLink"/>
                  <w:rFonts w:ascii="Times New Roman;serif" w:hAnsi="Times New Roman;serif"/>
                  <w:b w:val="false"/>
                  <w:color w:val="0000FF"/>
                  <w:sz w:val="20"/>
                  <w:u w:val="single"/>
                </w:rPr>
                <w:t>4</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22">
              <w:r>
                <w:rPr>
                  <w:rStyle w:val="InternetLink"/>
                  <w:rFonts w:ascii="Times New Roman;serif" w:hAnsi="Times New Roman;serif"/>
                  <w:b w:val="false"/>
                  <w:color w:val="0000FF"/>
                  <w:sz w:val="20"/>
                  <w:u w:val="single"/>
                </w:rPr>
                <w:t>Condensed Consolidated Statements of Operations and Comprehensive Loss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22">
              <w:r>
                <w:rPr>
                  <w:rStyle w:val="InternetLink"/>
                  <w:rFonts w:ascii="Times New Roman;serif" w:hAnsi="Times New Roman;serif"/>
                  <w:b w:val="false"/>
                  <w:color w:val="0000FF"/>
                  <w:sz w:val="20"/>
                  <w:u w:val="single"/>
                </w:rPr>
                <w:t>5</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25">
              <w:r>
                <w:rPr>
                  <w:rStyle w:val="InternetLink"/>
                  <w:rFonts w:ascii="Times New Roman;serif" w:hAnsi="Times New Roman;serif"/>
                  <w:b w:val="false"/>
                  <w:color w:val="0000FF"/>
                  <w:sz w:val="20"/>
                  <w:u w:val="single"/>
                </w:rPr>
                <w:t>Condensed Consolidated Statements of Stockholders’ Equity</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25">
              <w:r>
                <w:rPr>
                  <w:rStyle w:val="InternetLink"/>
                  <w:rFonts w:ascii="Times New Roman;serif" w:hAnsi="Times New Roman;serif"/>
                  <w:b w:val="false"/>
                  <w:color w:val="0000FF"/>
                  <w:sz w:val="20"/>
                  <w:u w:val="single"/>
                </w:rPr>
                <w:t>6</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25">
              <w:r>
                <w:rPr>
                  <w:rStyle w:val="InternetLink"/>
                  <w:rFonts w:ascii="Times New Roman;serif" w:hAnsi="Times New Roman;serif"/>
                  <w:b w:val="false"/>
                  <w:color w:val="0000FF"/>
                  <w:sz w:val="20"/>
                  <w:u w:val="single"/>
                </w:rPr>
                <w:t>Condensed Consolidated Statements of Cash Flows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28">
              <w:r>
                <w:rPr>
                  <w:rStyle w:val="InternetLink"/>
                  <w:rFonts w:ascii="Times New Roman;serif" w:hAnsi="Times New Roman;serif"/>
                  <w:b w:val="false"/>
                  <w:color w:val="0000FF"/>
                  <w:sz w:val="20"/>
                  <w:u w:val="single"/>
                </w:rPr>
                <w:t>7</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31">
              <w:r>
                <w:rPr>
                  <w:rStyle w:val="InternetLink"/>
                  <w:rFonts w:ascii="Times New Roman;serif" w:hAnsi="Times New Roman;serif"/>
                  <w:b w:val="false"/>
                  <w:color w:val="0000FF"/>
                  <w:sz w:val="20"/>
                  <w:u w:val="single"/>
                </w:rPr>
                <w:t>Notes to Condensed Consolidated Financial Statements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31">
              <w:r>
                <w:rPr>
                  <w:rStyle w:val="InternetLink"/>
                  <w:rFonts w:ascii="Times New Roman;serif" w:hAnsi="Times New Roman;serif"/>
                  <w:b w:val="false"/>
                  <w:color w:val="0000FF"/>
                  <w:sz w:val="20"/>
                  <w:u w:val="single"/>
                </w:rPr>
                <w:t>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73">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73">
              <w:r>
                <w:rPr>
                  <w:rStyle w:val="InternetLink"/>
                  <w:rFonts w:ascii="Times New Roman;serif" w:hAnsi="Times New Roman;serif"/>
                  <w:b w:val="false"/>
                  <w:color w:val="0000FF"/>
                  <w:sz w:val="20"/>
                  <w:u w:val="single"/>
                </w:rPr>
                <w:t>19</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06">
              <w:r>
                <w:rPr>
                  <w:rStyle w:val="InternetLink"/>
                  <w:rFonts w:ascii="Times New Roman;serif" w:hAnsi="Times New Roman;serif"/>
                  <w:b w:val="false"/>
                  <w:color w:val="0000FF"/>
                  <w:sz w:val="20"/>
                  <w:u w:val="singl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06">
              <w:r>
                <w:rPr>
                  <w:rStyle w:val="InternetLink"/>
                  <w:rFonts w:ascii="Times New Roman;serif" w:hAnsi="Times New Roman;serif"/>
                  <w:b w:val="false"/>
                  <w:color w:val="000080"/>
                  <w:sz w:val="20"/>
                  <w:u w:val="single"/>
                </w:rPr>
                <w:t>Quantitative and Qualitative Disclosure</w:t>
              </w:r>
            </w:hyperlink>
            <w:hyperlink w:anchor="i9ff86d053f8f4dd4b5e0eb43b72bf96c_106">
              <w:r>
                <w:rPr>
                  <w:rStyle w:val="InternetLink"/>
                  <w:rFonts w:ascii="Times New Roman;serif" w:hAnsi="Times New Roman;serif"/>
                  <w:b w:val="false"/>
                  <w:color w:val="000080"/>
                  <w:sz w:val="20"/>
                  <w:u w:val="single"/>
                </w:rPr>
                <w:t>s</w:t>
              </w:r>
            </w:hyperlink>
            <w:hyperlink w:anchor="i9ff86d053f8f4dd4b5e0eb43b72bf96c_106">
              <w:r>
                <w:rPr>
                  <w:rStyle w:val="InternetLink"/>
                  <w:rFonts w:ascii="Times New Roman;serif" w:hAnsi="Times New Roman;serif"/>
                  <w:b w:val="false"/>
                  <w:color w:val="000080"/>
                  <w:sz w:val="20"/>
                  <w:u w:val="single"/>
                </w:rPr>
                <w:t xml:space="preserve"> About Market Risk</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06">
              <w:r>
                <w:rPr>
                  <w:rStyle w:val="InternetLink"/>
                  <w:rFonts w:ascii="Times New Roman;serif" w:hAnsi="Times New Roman;serif"/>
                  <w:b w:val="false"/>
                  <w:color w:val="0000FF"/>
                  <w:sz w:val="20"/>
                  <w:u w:val="single"/>
                </w:rPr>
                <w:t>28</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09">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09">
              <w:r>
                <w:rPr>
                  <w:rStyle w:val="InternetLink"/>
                  <w:rFonts w:ascii="Times New Roman;serif" w:hAnsi="Times New Roman;serif"/>
                  <w:b w:val="false"/>
                  <w:color w:val="0000FF"/>
                  <w:sz w:val="20"/>
                  <w:u w:val="single"/>
                </w:rPr>
                <w:t>Controls and Procedures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09">
              <w:r>
                <w:rPr>
                  <w:rStyle w:val="InternetLink"/>
                  <w:rFonts w:ascii="Times New Roman;serif" w:hAnsi="Times New Roman;serif"/>
                  <w:b w:val="false"/>
                  <w:color w:val="0000FF"/>
                  <w:sz w:val="20"/>
                  <w:u w:val="single"/>
                </w:rPr>
                <w:t>28</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ff86d053f8f4dd4b5e0eb43b72bf96c_112">
              <w:r>
                <w:rPr>
                  <w:rStyle w:val="InternetLink"/>
                  <w:rFonts w:ascii="Times New Roman;serif" w:hAnsi="Times New Roman;serif"/>
                  <w:b w:val="false"/>
                  <w:color w:val="0000FF"/>
                  <w:sz w:val="20"/>
                  <w:u w:val="single"/>
                </w:rPr>
                <w:t>Part II. Other Information</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15">
              <w:r>
                <w:rPr>
                  <w:rStyle w:val="InternetLink"/>
                  <w:rFonts w:ascii="Times New Roman;serif" w:hAnsi="Times New Roman;serif"/>
                  <w:b w:val="false"/>
                  <w:color w:val="0000FF"/>
                  <w:sz w:val="20"/>
                  <w:u w:val="singl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15">
              <w:r>
                <w:rPr>
                  <w:rStyle w:val="InternetLink"/>
                  <w:rFonts w:ascii="Times New Roman;serif" w:hAnsi="Times New Roman;serif"/>
                  <w:b w:val="false"/>
                  <w:color w:val="0000FF"/>
                  <w:sz w:val="20"/>
                  <w:u w:val="single"/>
                </w:rPr>
                <w:t>Legal Proceedings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15">
              <w:r>
                <w:rPr>
                  <w:rStyle w:val="InternetLink"/>
                  <w:rFonts w:ascii="Times New Roman;serif" w:hAnsi="Times New Roman;serif"/>
                  <w:b w:val="false"/>
                  <w:color w:val="0000FF"/>
                  <w:sz w:val="20"/>
                  <w:u w:val="single"/>
                </w:rPr>
                <w:t>29</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18">
              <w:r>
                <w:rPr>
                  <w:rStyle w:val="InternetLink"/>
                  <w:rFonts w:ascii="Times New Roman;serif" w:hAnsi="Times New Roman;serif"/>
                  <w:b w:val="false"/>
                  <w:color w:val="0000FF"/>
                  <w:sz w:val="20"/>
                  <w:u w:val="singl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18">
              <w:r>
                <w:rPr>
                  <w:rStyle w:val="InternetLink"/>
                  <w:rFonts w:ascii="Times New Roman;serif" w:hAnsi="Times New Roman;serif"/>
                  <w:b w:val="false"/>
                  <w:color w:val="0000FF"/>
                  <w:sz w:val="20"/>
                  <w:u w:val="single"/>
                </w:rPr>
                <w:t>Risk Factors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18">
              <w:r>
                <w:rPr>
                  <w:rStyle w:val="InternetLink"/>
                  <w:rFonts w:ascii="Times New Roman;serif" w:hAnsi="Times New Roman;serif"/>
                  <w:b w:val="false"/>
                  <w:color w:val="0000FF"/>
                  <w:sz w:val="20"/>
                  <w:u w:val="single"/>
                </w:rPr>
                <w:t>29</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21">
              <w:r>
                <w:rPr>
                  <w:rStyle w:val="InternetLink"/>
                  <w:rFonts w:ascii="Times New Roman;serif" w:hAnsi="Times New Roman;serif"/>
                  <w:b w:val="false"/>
                  <w:color w:val="0000FF"/>
                  <w:sz w:val="20"/>
                  <w:u w:val="singl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21">
              <w:r>
                <w:rPr>
                  <w:rStyle w:val="InternetLink"/>
                  <w:rFonts w:ascii="Times New Roman;serif" w:hAnsi="Times New Roman;serif"/>
                  <w:b w:val="false"/>
                  <w:color w:val="0000FF"/>
                  <w:sz w:val="20"/>
                  <w:u w:val="single"/>
                </w:rPr>
                <w:t>Unregistered Sales of Equity Securities and Use of Proceeds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21">
              <w:r>
                <w:rPr>
                  <w:rStyle w:val="InternetLink"/>
                  <w:rFonts w:ascii="Times New Roman;serif" w:hAnsi="Times New Roman;serif"/>
                  <w:b w:val="false"/>
                  <w:color w:val="0000FF"/>
                  <w:sz w:val="20"/>
                  <w:u w:val="single"/>
                </w:rPr>
                <w:t>29</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21">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21">
              <w:r>
                <w:rPr>
                  <w:rStyle w:val="InternetLink"/>
                  <w:rFonts w:ascii="Times New Roman;serif" w:hAnsi="Times New Roman;serif"/>
                  <w:b w:val="false"/>
                  <w:color w:val="0000FF"/>
                  <w:sz w:val="20"/>
                  <w:u w:val="single"/>
                </w:rPr>
                <w:t>Defaults Upon Senior Securities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21">
              <w:r>
                <w:rPr>
                  <w:rStyle w:val="InternetLink"/>
                  <w:rFonts w:ascii="Times New Roman;serif" w:hAnsi="Times New Roman;serif"/>
                  <w:b w:val="false"/>
                  <w:color w:val="0000FF"/>
                  <w:sz w:val="20"/>
                  <w:u w:val="single"/>
                </w:rPr>
                <w:t>29</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21">
              <w:r>
                <w:rPr>
                  <w:rStyle w:val="InternetLink"/>
                  <w:rFonts w:ascii="Times New Roman;serif" w:hAnsi="Times New Roman;serif"/>
                  <w:b w:val="false"/>
                  <w:color w:val="0000FF"/>
                  <w:sz w:val="20"/>
                  <w:u w:val="singl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21">
              <w:r>
                <w:rPr>
                  <w:rStyle w:val="InternetLink"/>
                  <w:rFonts w:ascii="Times New Roman;serif" w:hAnsi="Times New Roman;serif"/>
                  <w:b w:val="false"/>
                  <w:color w:val="0000FF"/>
                  <w:sz w:val="20"/>
                  <w:u w:val="single"/>
                </w:rPr>
                <w:t>Mine Safety Disclosures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21">
              <w:r>
                <w:rPr>
                  <w:rStyle w:val="InternetLink"/>
                  <w:rFonts w:ascii="Times New Roman;serif" w:hAnsi="Times New Roman;serif"/>
                  <w:b w:val="false"/>
                  <w:color w:val="0000FF"/>
                  <w:sz w:val="20"/>
                  <w:u w:val="single"/>
                </w:rPr>
                <w:t>29</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21">
              <w:r>
                <w:rPr>
                  <w:rStyle w:val="InternetLink"/>
                  <w:rFonts w:ascii="Times New Roman;serif" w:hAnsi="Times New Roman;serif"/>
                  <w:b w:val="false"/>
                  <w:color w:val="0000FF"/>
                  <w:sz w:val="20"/>
                  <w:u w:val="singl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21">
              <w:r>
                <w:rPr>
                  <w:rStyle w:val="InternetLink"/>
                  <w:rFonts w:ascii="Times New Roman;serif" w:hAnsi="Times New Roman;serif"/>
                  <w:b w:val="false"/>
                  <w:color w:val="0000FF"/>
                  <w:sz w:val="20"/>
                  <w:u w:val="single"/>
                </w:rPr>
                <w:t>Other Information</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21">
              <w:r>
                <w:rPr>
                  <w:rStyle w:val="InternetLink"/>
                  <w:rFonts w:ascii="Times New Roman;serif" w:hAnsi="Times New Roman;serif"/>
                  <w:b w:val="false"/>
                  <w:color w:val="0000FF"/>
                  <w:sz w:val="20"/>
                  <w:u w:val="single"/>
                </w:rPr>
                <w:t>29</w:t>
              </w:r>
            </w:hyperlink>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36">
              <w:r>
                <w:rPr>
                  <w:rStyle w:val="InternetLink"/>
                  <w:rFonts w:ascii="Times New Roman;serif" w:hAnsi="Times New Roman;serif"/>
                  <w:b w:val="false"/>
                  <w:color w:val="0000FF"/>
                  <w:sz w:val="20"/>
                  <w:u w:val="single"/>
                </w:rPr>
                <w:t>Item 6.</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36">
              <w:r>
                <w:rPr>
                  <w:rStyle w:val="InternetLink"/>
                  <w:rFonts w:ascii="Times New Roman;serif" w:hAnsi="Times New Roman;serif"/>
                  <w:b w:val="false"/>
                  <w:color w:val="0000FF"/>
                  <w:sz w:val="20"/>
                  <w:u w:val="single"/>
                </w:rPr>
                <w:t>Exhibits</w:t>
              </w:r>
            </w:hyperlink>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ff86d053f8f4dd4b5e0eb43b72bf96c_136">
              <w:r>
                <w:rPr>
                  <w:rStyle w:val="InternetLink"/>
                  <w:rFonts w:ascii="Times New Roman;serif" w:hAnsi="Times New Roman;serif"/>
                  <w:b w:val="false"/>
                  <w:color w:val="0000FF"/>
                  <w:sz w:val="20"/>
                  <w:u w:val="single"/>
                </w:rPr>
                <w:t>31</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ff86d053f8f4dd4b5e0eb43b72bf96c_139">
              <w:r>
                <w:rPr>
                  <w:rStyle w:val="InternetLink"/>
                  <w:rFonts w:ascii="Times New Roman;serif" w:hAnsi="Times New Roman;serif"/>
                  <w:b w:val="false"/>
                  <w:color w:val="0000FF"/>
                  <w:sz w:val="20"/>
                  <w:u w:val="single"/>
                </w:rPr>
                <w:t>Signatures</w:t>
              </w:r>
            </w:hyperlink>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before="0" w:after="180"/>
        <w:ind w:left="0" w:right="0" w:firstLine="36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All statements other than statements of historical facts contained in this Quarterly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Quarterly Report, including without limitation statements regarding our business model and strategic plans for our products, technologies and business, including our implementation thereof, the timing of and our ability to obtain and maintain regulatory approvals, our commercialization, marketing and manufacturing capabilities and strategy, our expectations about the commercial success and market acceptance of our products, the sufficiency of our cash, cash equivalents and short-term investments, and the plans and objectives of management for future operations and capital expenditures are forward-looking statements.</w:t>
      </w:r>
    </w:p>
    <w:p>
      <w:pPr>
        <w:pStyle w:val="TextBody"/>
        <w:bidi w:val="0"/>
        <w:spacing w:before="0" w:after="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Quarterly Report and are subject to a number of known and unknown risks, uncertainties, and assumptions, including those described under the sections in this Quarterly Report entitled “Risk Factors” and “Management’s Discussion and Analysis of Financial Condition and Results of Operations” and elsewhere in this Quarterly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may not occur and actual results could differ materially and adversely from those anticipated or implied in the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 </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112" w:type="dxa"/>
        <w:jc w:val="left"/>
        <w:tblInd w:w="0" w:type="dxa"/>
        <w:tblLayout w:type="fixed"/>
        <w:tblCellMar>
          <w:top w:w="28" w:type="dxa"/>
          <w:left w:w="28" w:type="dxa"/>
          <w:bottom w:w="28" w:type="dxa"/>
          <w:right w:w="28" w:type="dxa"/>
        </w:tblCellMar>
      </w:tblPr>
      <w:tblGrid>
        <w:gridCol w:w="2683"/>
        <w:gridCol w:w="2361"/>
        <w:gridCol w:w="2396"/>
        <w:gridCol w:w="196"/>
        <w:gridCol w:w="736"/>
        <w:gridCol w:w="109"/>
        <w:gridCol w:w="109"/>
        <w:gridCol w:w="109"/>
        <w:gridCol w:w="109"/>
        <w:gridCol w:w="196"/>
        <w:gridCol w:w="736"/>
        <w:gridCol w:w="109"/>
        <w:gridCol w:w="109"/>
        <w:gridCol w:w="154"/>
      </w:tblGrid>
      <w:tr>
        <w:trPr/>
        <w:tc>
          <w:tcPr>
            <w:tcW w:w="268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11)</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$0.00001 par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Authorized shares: 10,000 at June 30, 2026 and 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Issued and outstanding shares: none at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$0.00001 par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Authorized shares: 300,000 at June 30, 2026 and 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Issued and outstanding shares: 57,247 and 56,323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gain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75" w:type="dxa"/>
        <w:jc w:val="left"/>
        <w:tblInd w:w="0" w:type="dxa"/>
        <w:tblLayout w:type="fixed"/>
        <w:tblCellMar>
          <w:top w:w="28" w:type="dxa"/>
          <w:left w:w="28" w:type="dxa"/>
          <w:bottom w:w="28" w:type="dxa"/>
          <w:right w:w="28" w:type="dxa"/>
        </w:tblCellMar>
      </w:tblPr>
      <w:tblGrid>
        <w:gridCol w:w="1276"/>
        <w:gridCol w:w="1123"/>
        <w:gridCol w:w="1126"/>
        <w:gridCol w:w="211"/>
        <w:gridCol w:w="796"/>
        <w:gridCol w:w="109"/>
        <w:gridCol w:w="109"/>
        <w:gridCol w:w="109"/>
        <w:gridCol w:w="109"/>
        <w:gridCol w:w="211"/>
        <w:gridCol w:w="796"/>
        <w:gridCol w:w="109"/>
        <w:gridCol w:w="211"/>
        <w:gridCol w:w="826"/>
        <w:gridCol w:w="109"/>
        <w:gridCol w:w="109"/>
        <w:gridCol w:w="109"/>
        <w:gridCol w:w="109"/>
        <w:gridCol w:w="211"/>
        <w:gridCol w:w="826"/>
        <w:gridCol w:w="109"/>
        <w:gridCol w:w="109"/>
        <w:gridCol w:w="109"/>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 net loss per share attributable to</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shareholders, basic and diluted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827"/>
        <w:gridCol w:w="505"/>
        <w:gridCol w:w="508"/>
        <w:gridCol w:w="360"/>
        <w:gridCol w:w="361"/>
        <w:gridCol w:w="196"/>
        <w:gridCol w:w="109"/>
        <w:gridCol w:w="109"/>
        <w:gridCol w:w="109"/>
        <w:gridCol w:w="211"/>
        <w:gridCol w:w="406"/>
        <w:gridCol w:w="109"/>
        <w:gridCol w:w="109"/>
        <w:gridCol w:w="109"/>
        <w:gridCol w:w="109"/>
        <w:gridCol w:w="211"/>
        <w:gridCol w:w="976"/>
        <w:gridCol w:w="109"/>
        <w:gridCol w:w="109"/>
        <w:gridCol w:w="109"/>
        <w:gridCol w:w="109"/>
        <w:gridCol w:w="440"/>
        <w:gridCol w:w="754"/>
        <w:gridCol w:w="229"/>
        <w:gridCol w:w="109"/>
        <w:gridCol w:w="109"/>
        <w:gridCol w:w="109"/>
        <w:gridCol w:w="211"/>
        <w:gridCol w:w="855"/>
        <w:gridCol w:w="109"/>
        <w:gridCol w:w="109"/>
        <w:gridCol w:w="109"/>
        <w:gridCol w:w="109"/>
        <w:gridCol w:w="211"/>
        <w:gridCol w:w="826"/>
        <w:gridCol w:w="156"/>
      </w:tblGrid>
      <w:tr>
        <w:trPr/>
        <w:tc>
          <w:tcPr>
            <w:tcW w:w="82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7"/>
        <w:gridCol w:w="544"/>
        <w:gridCol w:w="547"/>
        <w:gridCol w:w="360"/>
        <w:gridCol w:w="361"/>
        <w:gridCol w:w="196"/>
        <w:gridCol w:w="109"/>
        <w:gridCol w:w="109"/>
        <w:gridCol w:w="109"/>
        <w:gridCol w:w="211"/>
        <w:gridCol w:w="406"/>
        <w:gridCol w:w="109"/>
        <w:gridCol w:w="109"/>
        <w:gridCol w:w="109"/>
        <w:gridCol w:w="109"/>
        <w:gridCol w:w="211"/>
        <w:gridCol w:w="826"/>
        <w:gridCol w:w="109"/>
        <w:gridCol w:w="109"/>
        <w:gridCol w:w="109"/>
        <w:gridCol w:w="109"/>
        <w:gridCol w:w="384"/>
        <w:gridCol w:w="878"/>
        <w:gridCol w:w="199"/>
        <w:gridCol w:w="109"/>
        <w:gridCol w:w="109"/>
        <w:gridCol w:w="109"/>
        <w:gridCol w:w="211"/>
        <w:gridCol w:w="857"/>
        <w:gridCol w:w="109"/>
        <w:gridCol w:w="109"/>
        <w:gridCol w:w="109"/>
        <w:gridCol w:w="109"/>
        <w:gridCol w:w="211"/>
        <w:gridCol w:w="826"/>
        <w:gridCol w:w="158"/>
      </w:tblGrid>
      <w:tr>
        <w:trPr/>
        <w:tc>
          <w:tcPr>
            <w:tcW w:w="85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389,157 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stock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8830" w:type="dxa"/>
        <w:jc w:val="left"/>
        <w:tblInd w:w="0" w:type="dxa"/>
        <w:tblLayout w:type="fixed"/>
        <w:tblCellMar>
          <w:top w:w="28" w:type="dxa"/>
          <w:left w:w="28" w:type="dxa"/>
          <w:bottom w:w="28" w:type="dxa"/>
          <w:right w:w="28" w:type="dxa"/>
        </w:tblCellMar>
      </w:tblPr>
      <w:tblGrid>
        <w:gridCol w:w="2152"/>
        <w:gridCol w:w="1887"/>
        <w:gridCol w:w="1901"/>
        <w:gridCol w:w="196"/>
        <w:gridCol w:w="736"/>
        <w:gridCol w:w="109"/>
        <w:gridCol w:w="109"/>
        <w:gridCol w:w="109"/>
        <w:gridCol w:w="109"/>
        <w:gridCol w:w="196"/>
        <w:gridCol w:w="736"/>
        <w:gridCol w:w="109"/>
        <w:gridCol w:w="109"/>
        <w:gridCol w:w="109"/>
        <w:gridCol w:w="109"/>
        <w:gridCol w:w="154"/>
      </w:tblGrid>
      <w:tr>
        <w:trPr/>
        <w:tc>
          <w:tcPr>
            <w:tcW w:w="2152"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(44,316)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Non-cash lease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Inventory write-down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(Gain) loss on foreign currency transactions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(24,948)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Accrued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Loan facility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(57,378)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(32,023)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from the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under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(58,589)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(31,008)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289,541 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336,763 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230,952 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305,755 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 to balance sheets: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227,914 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in balance sheets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230,952 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305,755 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Property and equipment included in accounts payable and accrued expenses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    Organization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lineRule="auto" w:line="276" w:before="0" w:after="0"/>
        <w:ind w:left="0" w:right="0" w:firstLine="490"/>
        <w:jc w:val="left"/>
        <w:rPr/>
      </w:pPr>
      <w:r>
        <w:rPr>
          <w:rFonts w:ascii="Times New Roman;serif" w:hAnsi="Times New Roman;serif"/>
          <w:b w:val="false"/>
          <w:color w:val="000000"/>
          <w:sz w:val="20"/>
        </w:rPr>
        <w:t>PROCEPT BioRobotics Corporation, or the Company, was incorporated in the state of California in 2007 and its headquarters are located in San Jose, California. In April 2021, the Company re-incorporated in the state of Delaware. The Company received U.S. Food and Drug Administration clearance in December 2017 to market its AquaBeam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Robotic System, an automated surgical robot providing tissue removal for the treatment of benign prostatic hyperplasia, a prostate gland enlargement condition. On August 20, 2024, the Company received 510(k) clearance from the FDA for its next generation robot system, HYDROS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Robotic System.</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Basis of Preparation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in accordance with U.S. generally accepted accounting principles, or U.S. GAAP, and pursuant to the rules and regulations of the United States Securities and Exchange Commission or SEC. These condensed consolidated financial statements include the accounts of the Company and its consolidated subsidiaries. All intercompany balances and transactions have been eliminated upon consolidation. </w:t>
      </w:r>
    </w:p>
    <w:p>
      <w:pPr>
        <w:pStyle w:val="TextBody"/>
        <w:bidi w:val="0"/>
        <w:spacing w:before="0" w:after="0"/>
        <w:ind w:left="0" w:right="0" w:firstLine="49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Unaudited Interim Financial Statements </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accompanying balance sheet as of June 30, 2026, the statements of operations and comprehensive loss and cash flows for the three and six months ended June 30, 2026 and 2025, and the statements of stockholders’ equity as of June 30, 2026 and 2025, are unaudited. The financial data and other information disclosed in these notes to the financial statements related to June 30, 2026, and the three and six months ended June 30, 2026 and 2025, are also unaudited. The accompanying balance sheet as of December 31, 2025 has been derived from the audited consolidated financial statements included in the Company’s Annual Report on Form 10-K (“Annual Report”) filed with the Securities and Exchange Commission.</w:t>
      </w:r>
    </w:p>
    <w:p>
      <w:pPr>
        <w:pStyle w:val="TextBody"/>
        <w:bidi w:val="0"/>
        <w:spacing w:before="0" w:after="0"/>
        <w:ind w:left="0" w:right="0" w:firstLine="49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unaudited interim financial statements have been prepared on the same basis as the annual financial statements and, in the opinion of management, reflect all adjustments, which include only normal recurring adjustments, necessary to a fair statement of the Company’s financial position as of June 30, 2026, and the results of its operations and cash flows for the three and six months ended June 30, 2026 and 2025. The results for the three and six months ended June 30, 2026, are not necessarily indicative of results to be expected for the year ending December 31, 2026, or for any other interim period or for any future year and should be read in conjunction with the annual consolidated financial statements included in the Company’s Annual Report.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condensed consolidated financial statements in conformity with U.S. GAAP requires management to make estimates and assumptions that affect the amounts and disclosures reported in the condensed consolidated financial statements. Management uses significant judgment when making estimates related to its allowance for credit losses, excess and obsolete inventory reserves, stock-based compensation expense, right-of-use lease asset, lease liability, as well as certain accrued liabilities. Management bases its estimates on historical experience and on various other assumptions that are believed to be reasonable under the circumstances, the results of which form the basis for making judgments about the carrying values of assets and liabilities. Actual results could differ from those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ASU 2025-05 provides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yet been issued or made available for issuance. The Company adopted this ASU effective January 1, 2026. The ASU did not have a material impact to the Company’s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In January 2025, the FASB issued ASU 2025-01, Income Statement-Reporting Comprehensive Income-Expense Disaggregation Disclosures (Subtopic 220-40): Clarifying the Effective Date. The ASUs require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evaluating the impact this ASU will have on its financial statement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 Use Software (Subtopic 350-40): Targeted Improvements to the Accounting for Internal-Use Software. The ASU removes all references to prescriptive and sequential software development stages (referred to as “project stages”) and requires companies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 complete recognition threshold”). ASU 2025-06 is effective for fiscal years beginning after December 15, 2027, and interim reporting periods within those annual reporting periods. Early adoption is permitted. The adoption of this ASU is not expected to have a material impact to the Company’s financial statements.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9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measured at fair value on a recurring basis (in thousands):</w:t>
      </w:r>
    </w:p>
    <w:tbl>
      <w:tblPr>
        <w:tblW w:w="10410" w:type="dxa"/>
        <w:jc w:val="left"/>
        <w:tblInd w:w="0" w:type="dxa"/>
        <w:tblLayout w:type="fixed"/>
        <w:tblCellMar>
          <w:top w:w="28" w:type="dxa"/>
          <w:left w:w="28" w:type="dxa"/>
          <w:bottom w:w="28" w:type="dxa"/>
          <w:right w:w="28" w:type="dxa"/>
        </w:tblCellMar>
      </w:tblPr>
      <w:tblGrid>
        <w:gridCol w:w="288"/>
        <w:gridCol w:w="253"/>
        <w:gridCol w:w="255"/>
        <w:gridCol w:w="181"/>
        <w:gridCol w:w="616"/>
        <w:gridCol w:w="109"/>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81"/>
        <w:gridCol w:w="616"/>
        <w:gridCol w:w="109"/>
        <w:gridCol w:w="109"/>
        <w:gridCol w:w="109"/>
        <w:gridCol w:w="109"/>
        <w:gridCol w:w="181"/>
        <w:gridCol w:w="406"/>
        <w:gridCol w:w="109"/>
        <w:gridCol w:w="109"/>
        <w:gridCol w:w="109"/>
        <w:gridCol w:w="109"/>
        <w:gridCol w:w="181"/>
        <w:gridCol w:w="406"/>
        <w:gridCol w:w="109"/>
        <w:gridCol w:w="109"/>
        <w:gridCol w:w="109"/>
        <w:gridCol w:w="109"/>
        <w:gridCol w:w="181"/>
        <w:gridCol w:w="616"/>
        <w:gridCol w:w="109"/>
        <w:gridCol w:w="109"/>
        <w:gridCol w:w="109"/>
        <w:gridCol w:w="109"/>
        <w:gridCol w:w="109"/>
        <w:gridCol w:w="109"/>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equivalents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cash and cash equivalents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primarily of money market deposit 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long-term debt approximates fair value as the debt bears interest at variable SOFR rates at June 30, 2026 and December 31, 2025, which is observable at commonly quoted intervals for the full term of the loan, and therefore, is considered a Level 2 item in the fair value hierarchy.</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Balance Sheet Components</w:t>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Allowance for credit losses (in thousands):</w:t>
      </w:r>
    </w:p>
    <w:tbl>
      <w:tblPr>
        <w:tblW w:w="5076" w:type="dxa"/>
        <w:jc w:val="left"/>
        <w:tblInd w:w="0" w:type="dxa"/>
        <w:tblLayout w:type="fixed"/>
        <w:tblCellMar>
          <w:top w:w="28" w:type="dxa"/>
          <w:left w:w="28" w:type="dxa"/>
          <w:bottom w:w="28" w:type="dxa"/>
          <w:right w:w="28" w:type="dxa"/>
        </w:tblCellMar>
      </w:tblPr>
      <w:tblGrid>
        <w:gridCol w:w="929"/>
        <w:gridCol w:w="815"/>
        <w:gridCol w:w="820"/>
        <w:gridCol w:w="109"/>
        <w:gridCol w:w="211"/>
        <w:gridCol w:w="616"/>
        <w:gridCol w:w="109"/>
        <w:gridCol w:w="109"/>
        <w:gridCol w:w="109"/>
        <w:gridCol w:w="109"/>
        <w:gridCol w:w="245"/>
        <w:gridCol w:w="716"/>
        <w:gridCol w:w="179"/>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Inventory (in thousands):</w:t>
      </w:r>
    </w:p>
    <w:tbl>
      <w:tblPr>
        <w:tblW w:w="4182" w:type="dxa"/>
        <w:jc w:val="left"/>
        <w:tblInd w:w="0" w:type="dxa"/>
        <w:tblLayout w:type="fixed"/>
        <w:tblCellMar>
          <w:top w:w="28" w:type="dxa"/>
          <w:left w:w="28" w:type="dxa"/>
          <w:bottom w:w="28" w:type="dxa"/>
          <w:right w:w="28" w:type="dxa"/>
        </w:tblCellMar>
      </w:tblPr>
      <w:tblGrid>
        <w:gridCol w:w="527"/>
        <w:gridCol w:w="462"/>
        <w:gridCol w:w="467"/>
        <w:gridCol w:w="211"/>
        <w:gridCol w:w="721"/>
        <w:gridCol w:w="109"/>
        <w:gridCol w:w="109"/>
        <w:gridCol w:w="109"/>
        <w:gridCol w:w="109"/>
        <w:gridCol w:w="222"/>
        <w:gridCol w:w="759"/>
        <w:gridCol w:w="114"/>
        <w:gridCol w:w="109"/>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 (in thousands):</w:t>
      </w:r>
    </w:p>
    <w:tbl>
      <w:tblPr>
        <w:tblW w:w="8056" w:type="dxa"/>
        <w:jc w:val="left"/>
        <w:tblInd w:w="0" w:type="dxa"/>
        <w:tblLayout w:type="fixed"/>
        <w:tblCellMar>
          <w:top w:w="28" w:type="dxa"/>
          <w:left w:w="28" w:type="dxa"/>
          <w:bottom w:w="28" w:type="dxa"/>
          <w:right w:w="28" w:type="dxa"/>
        </w:tblCellMar>
      </w:tblPr>
      <w:tblGrid>
        <w:gridCol w:w="2010"/>
        <w:gridCol w:w="1765"/>
        <w:gridCol w:w="1774"/>
        <w:gridCol w:w="211"/>
        <w:gridCol w:w="721"/>
        <w:gridCol w:w="109"/>
        <w:gridCol w:w="109"/>
        <w:gridCol w:w="109"/>
        <w:gridCol w:w="109"/>
        <w:gridCol w:w="221"/>
        <w:gridCol w:w="757"/>
        <w:gridCol w:w="161"/>
      </w:tblGrid>
      <w:tr>
        <w:trPr/>
        <w:tc>
          <w:tcPr>
            <w:tcW w:w="201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computer equipment, and furniture and fixtures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left"/>
        <w:rPr/>
      </w:pPr>
      <w:r>
        <w:rPr/>
      </w:r>
    </w:p>
    <w:p>
      <w:pPr>
        <w:pStyle w:val="TextBody"/>
        <w:bidi w:val="0"/>
        <w:spacing w:lineRule="auto" w:line="288" w:before="90" w:after="283"/>
        <w:jc w:val="left"/>
        <w:rPr>
          <w:rFonts w:ascii="Times New Roman;serif" w:hAnsi="Times New Roman;serif"/>
          <w:b/>
          <w:i/>
          <w:color w:val="000000"/>
          <w:sz w:val="20"/>
        </w:rPr>
      </w:pPr>
      <w:r>
        <w:rPr>
          <w:rFonts w:ascii="Times New Roman;serif" w:hAnsi="Times New Roman;serif"/>
          <w:b/>
          <w:i/>
          <w:color w:val="000000"/>
          <w:sz w:val="20"/>
        </w:rPr>
        <w:t>Deferred commission costs, (in thousands):</w:t>
      </w:r>
    </w:p>
    <w:tbl>
      <w:tblPr>
        <w:tblW w:w="6288" w:type="dxa"/>
        <w:jc w:val="left"/>
        <w:tblInd w:w="0" w:type="dxa"/>
        <w:tblLayout w:type="fixed"/>
        <w:tblCellMar>
          <w:top w:w="28" w:type="dxa"/>
          <w:left w:w="28" w:type="dxa"/>
          <w:bottom w:w="28" w:type="dxa"/>
          <w:right w:w="28" w:type="dxa"/>
        </w:tblCellMar>
      </w:tblPr>
      <w:tblGrid>
        <w:gridCol w:w="1248"/>
        <w:gridCol w:w="1096"/>
        <w:gridCol w:w="1105"/>
        <w:gridCol w:w="109"/>
        <w:gridCol w:w="109"/>
        <w:gridCol w:w="109"/>
        <w:gridCol w:w="109"/>
        <w:gridCol w:w="211"/>
        <w:gridCol w:w="616"/>
        <w:gridCol w:w="109"/>
        <w:gridCol w:w="109"/>
        <w:gridCol w:w="109"/>
        <w:gridCol w:w="109"/>
        <w:gridCol w:w="245"/>
        <w:gridCol w:w="716"/>
        <w:gridCol w:w="179"/>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Long-Term Debt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Term Loan Facility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2022, the Company entered into a loan and security agreement (as amended, “the Agreement”) with Canadian Imperial Bank of Commerce, or CIBC. The Agreement provides for a senior secured term loan facility in the aggregate principal amount of $52.0 million (the "Term Loan Facility") which was borrowed in full.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Facility is scheduled to mature on the fifth anniversary of the closing date (the “Maturity Date”). The Company has the option to prepay the Term Loan Facility without any prepayment charge or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loan borrowed under the Term Loan Facility bears interest at an annual rate equal to the secured overnight financing rate or SOFR (calculated based on an adjustment of .10%, .15% and .25%, respectively, for one-month, three-month or six-month term SOFR as of a specified date, subject to a floor of 1.5%) plus an applicable margin of 2.25%. The weighted-average interest rate for the periods ended June 30, 2026 and 2025 were 6.0% and 6.6%,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obligations under the Agreement are secured by substantially all of the Company's assets, including its intellectual property and by a pledge of all of the Company's equity interests in its U.S. subsidiaries and 65% of the Company's equity interests in its non-U.S. subsidiaries that are directly owned by the Company. </w:t>
      </w:r>
    </w:p>
    <w:p>
      <w:pPr>
        <w:pStyle w:val="TextBody"/>
        <w:bidi w:val="0"/>
        <w:spacing w:lineRule="auto" w:line="26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2025, the Company entered into a second amendment to the Agreement (the “Second Amendment”), which, among other things, modified the repayment terms such that the entire principal amount outstanding is now due on the Maturity Date, replacing the prior repayment schedule of interest-only payments followed by monthly principal amortization payments. Additionally, the Second Amendment modified the Company’s minimum cash holdings requirement at CIBC as follows: (a) if the Company’s cash and cash equivalents is less than $50.0 million, then the Company is required to maintain 100% of its cash and cash equivalents at CIBC; or (b) if the Company’s cash and cash equivalents is greater than or equal to $50.0 million, then the Company is required to maintain the greater of $50.0 million or 50% of its cash and cash equivalents at CIBC, with amounts exceeding $50.0 million permitted to be held outside of CIBC in collateral accounts managed by CIBC.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Agreement, if the Company maintains less than $100.0 million in available cash, then the Company is required to meet either one of two financial covenants: a minimum unrestricted cash covenant or a minimum revenue and growth covenant. If the Company maintains at least $100.0 million in available cash, then it is not required to meet such financial covenants. As of June 30, 2026, the Company was in compliance with all debt covenants.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Future minimum annual debt repayments are as follows (in thousands): </w:t>
      </w:r>
    </w:p>
    <w:p>
      <w:pPr>
        <w:pStyle w:val="TextBody"/>
        <w:bidi w:val="0"/>
        <w:spacing w:before="180" w:after="283"/>
        <w:jc w:val="left"/>
        <w:rPr/>
      </w:pPr>
      <w:r>
        <w:rPr/>
      </w:r>
    </w:p>
    <w:tbl>
      <w:tblPr>
        <w:tblW w:w="5556" w:type="dxa"/>
        <w:jc w:val="left"/>
        <w:tblInd w:w="0" w:type="dxa"/>
        <w:tblLayout w:type="fixed"/>
        <w:tblCellMar>
          <w:top w:w="28" w:type="dxa"/>
          <w:left w:w="28" w:type="dxa"/>
          <w:bottom w:w="28" w:type="dxa"/>
          <w:right w:w="28" w:type="dxa"/>
        </w:tblCellMar>
      </w:tblPr>
      <w:tblGrid>
        <w:gridCol w:w="1620"/>
        <w:gridCol w:w="1421"/>
        <w:gridCol w:w="1429"/>
        <w:gridCol w:w="211"/>
        <w:gridCol w:w="721"/>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Fiscal Year</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amount representing unamortized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Facility Lease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entered into a lease for two existing buildings, comprising approximately 158,221 square feet of space, located in San Jose, California. The lease commenced in July 2022, and will continue for 122 months thereafter, with two five year options to extend the term of the lease.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Rent expense recognized under the lease, including additional rent charges for utilities, parking, maintenance, and real estate taxes, was $1.0 million and $1.5 million for the three months ended June 30, 2026 and 2025, and $2.4 million and $3.1 million for the six months ended June 30, 2026 and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Future minimum annual operating lease payments are as follows (in thousands): </w:t>
      </w:r>
    </w:p>
    <w:tbl>
      <w:tblPr>
        <w:tblW w:w="3980" w:type="dxa"/>
        <w:jc w:val="left"/>
        <w:tblInd w:w="0" w:type="dxa"/>
        <w:tblLayout w:type="fixed"/>
        <w:tblCellMar>
          <w:top w:w="28" w:type="dxa"/>
          <w:left w:w="28" w:type="dxa"/>
          <w:bottom w:w="28" w:type="dxa"/>
          <w:right w:w="28" w:type="dxa"/>
        </w:tblCellMar>
      </w:tblPr>
      <w:tblGrid>
        <w:gridCol w:w="1046"/>
        <w:gridCol w:w="920"/>
        <w:gridCol w:w="928"/>
        <w:gridCol w:w="211"/>
        <w:gridCol w:w="721"/>
        <w:gridCol w:w="154"/>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Company’s security deposit is in the form of, and recorded as, restricted cash.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Lessor Information for Robotic Systems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Contractual maturities of gross lease receivables as of June 30, 2026 are as follows (in thousands):</w:t>
      </w:r>
    </w:p>
    <w:tbl>
      <w:tblPr>
        <w:tblW w:w="3002"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79" w:type="dxa"/>
        <w:jc w:val="left"/>
        <w:tblInd w:w="0" w:type="dxa"/>
        <w:tblLayout w:type="fixed"/>
        <w:tblCellMar>
          <w:top w:w="28" w:type="dxa"/>
          <w:left w:w="28" w:type="dxa"/>
          <w:bottom w:w="28" w:type="dxa"/>
          <w:right w:w="28" w:type="dxa"/>
        </w:tblCellMar>
      </w:tblPr>
      <w:tblGrid>
        <w:gridCol w:w="1064"/>
        <w:gridCol w:w="936"/>
        <w:gridCol w:w="940"/>
        <w:gridCol w:w="109"/>
        <w:gridCol w:w="109"/>
        <w:gridCol w:w="109"/>
        <w:gridCol w:w="109"/>
        <w:gridCol w:w="211"/>
        <w:gridCol w:w="616"/>
        <w:gridCol w:w="109"/>
        <w:gridCol w:w="109"/>
        <w:gridCol w:w="109"/>
        <w:gridCol w:w="109"/>
        <w:gridCol w:w="245"/>
        <w:gridCol w:w="716"/>
        <w:gridCol w:w="179"/>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receivables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Unearned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components of income from sales-type leases are as follows:</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left"/>
        <w:rPr/>
      </w:pPr>
      <w:r>
        <w:rPr/>
      </w:r>
    </w:p>
    <w:tbl>
      <w:tblPr>
        <w:tblW w:w="8346" w:type="dxa"/>
        <w:jc w:val="left"/>
        <w:tblInd w:w="0" w:type="dxa"/>
        <w:tblLayout w:type="fixed"/>
        <w:tblCellMar>
          <w:top w:w="28" w:type="dxa"/>
          <w:left w:w="28" w:type="dxa"/>
          <w:bottom w:w="28" w:type="dxa"/>
          <w:right w:w="28" w:type="dxa"/>
        </w:tblCellMar>
      </w:tblPr>
      <w:tblGrid>
        <w:gridCol w:w="760"/>
        <w:gridCol w:w="668"/>
        <w:gridCol w:w="671"/>
        <w:gridCol w:w="391"/>
        <w:gridCol w:w="864"/>
        <w:gridCol w:w="202"/>
        <w:gridCol w:w="202"/>
        <w:gridCol w:w="202"/>
        <w:gridCol w:w="202"/>
        <w:gridCol w:w="202"/>
        <w:gridCol w:w="211"/>
        <w:gridCol w:w="616"/>
        <w:gridCol w:w="109"/>
        <w:gridCol w:w="156"/>
        <w:gridCol w:w="156"/>
        <w:gridCol w:w="156"/>
        <w:gridCol w:w="303"/>
        <w:gridCol w:w="670"/>
        <w:gridCol w:w="156"/>
        <w:gridCol w:w="156"/>
        <w:gridCol w:w="156"/>
        <w:gridCol w:w="156"/>
        <w:gridCol w:w="211"/>
        <w:gridCol w:w="61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981" w:type="dxa"/>
            <w:gridSpan w:val="3"/>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Sales-type lease revenue</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Leases receivable relating to sales-type lease arrangements are presented on the Company’s consolidated balance sheets as follows (in thousands):</w:t>
      </w:r>
    </w:p>
    <w:tbl>
      <w:tblPr>
        <w:tblW w:w="5779" w:type="dxa"/>
        <w:jc w:val="left"/>
        <w:tblInd w:w="0" w:type="dxa"/>
        <w:tblLayout w:type="fixed"/>
        <w:tblCellMar>
          <w:top w:w="28" w:type="dxa"/>
          <w:left w:w="28" w:type="dxa"/>
          <w:bottom w:w="28" w:type="dxa"/>
          <w:right w:w="28" w:type="dxa"/>
        </w:tblCellMar>
      </w:tblPr>
      <w:tblGrid>
        <w:gridCol w:w="1064"/>
        <w:gridCol w:w="934"/>
        <w:gridCol w:w="942"/>
        <w:gridCol w:w="109"/>
        <w:gridCol w:w="109"/>
        <w:gridCol w:w="109"/>
        <w:gridCol w:w="109"/>
        <w:gridCol w:w="211"/>
        <w:gridCol w:w="616"/>
        <w:gridCol w:w="109"/>
        <w:gridCol w:w="109"/>
        <w:gridCol w:w="109"/>
        <w:gridCol w:w="109"/>
        <w:gridCol w:w="245"/>
        <w:gridCol w:w="716"/>
        <w:gridCol w:w="17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recognized, before taxes, are as follows (in thousands): </w:t>
      </w:r>
    </w:p>
    <w:tbl>
      <w:tblPr>
        <w:tblW w:w="9806" w:type="dxa"/>
        <w:jc w:val="left"/>
        <w:tblInd w:w="0" w:type="dxa"/>
        <w:tblLayout w:type="fixed"/>
        <w:tblCellMar>
          <w:top w:w="28" w:type="dxa"/>
          <w:left w:w="28" w:type="dxa"/>
          <w:bottom w:w="28" w:type="dxa"/>
          <w:right w:w="28" w:type="dxa"/>
        </w:tblCellMar>
      </w:tblPr>
      <w:tblGrid>
        <w:gridCol w:w="1551"/>
        <w:gridCol w:w="1356"/>
        <w:gridCol w:w="138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capitalized in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7.9 million shares available for grant as of June 30, 2026 under the 2021 Equity Incentive Award Plan, or 2021 Plan.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the Company’s stock option activity and related information are as follows (options in thousands): </w:t>
      </w:r>
    </w:p>
    <w:tbl>
      <w:tblPr>
        <w:tblW w:w="8021" w:type="dxa"/>
        <w:jc w:val="left"/>
        <w:tblInd w:w="0" w:type="dxa"/>
        <w:tblLayout w:type="fixed"/>
        <w:tblCellMar>
          <w:top w:w="28" w:type="dxa"/>
          <w:left w:w="28" w:type="dxa"/>
          <w:bottom w:w="28" w:type="dxa"/>
          <w:right w:w="28" w:type="dxa"/>
        </w:tblCellMar>
      </w:tblPr>
      <w:tblGrid>
        <w:gridCol w:w="1026"/>
        <w:gridCol w:w="903"/>
        <w:gridCol w:w="905"/>
        <w:gridCol w:w="469"/>
        <w:gridCol w:w="469"/>
        <w:gridCol w:w="471"/>
        <w:gridCol w:w="109"/>
        <w:gridCol w:w="109"/>
        <w:gridCol w:w="109"/>
        <w:gridCol w:w="570"/>
        <w:gridCol w:w="1668"/>
        <w:gridCol w:w="296"/>
        <w:gridCol w:w="109"/>
        <w:gridCol w:w="109"/>
        <w:gridCol w:w="109"/>
        <w:gridCol w:w="109"/>
        <w:gridCol w:w="109"/>
        <w:gridCol w:w="109"/>
        <w:gridCol w:w="109"/>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beginning of period</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end of period</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93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4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aggregate pre-tax intrinsic value of options outstanding and exercisable was $38.5 million and $61.0 million, respectively, and the aggregate pre-tax intrinsic value of options outstanding were $38.5 million and $61.0 million, respectively. The aggregate pre-tax intrinsic value of options exercised was $2.2 million and $16.5 million during the six months ended June 30, 2026 and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 total of $16.4 million of unrecognized stock-based compensation expense related to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options granted to employees or directors was estimated as of the grant date using the Black-Scholes model assuming the weighted-average assumptions listed in the following table: </w:t>
      </w:r>
    </w:p>
    <w:tbl>
      <w:tblPr>
        <w:tblW w:w="8268" w:type="dxa"/>
        <w:jc w:val="left"/>
        <w:tblInd w:w="0" w:type="dxa"/>
        <w:tblLayout w:type="fixed"/>
        <w:tblCellMar>
          <w:top w:w="28" w:type="dxa"/>
          <w:left w:w="28" w:type="dxa"/>
          <w:bottom w:w="28" w:type="dxa"/>
          <w:right w:w="28" w:type="dxa"/>
        </w:tblCellMar>
      </w:tblPr>
      <w:tblGrid>
        <w:gridCol w:w="875"/>
        <w:gridCol w:w="768"/>
        <w:gridCol w:w="771"/>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volatility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dividend rate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unit, or RSU, activity and related information are as follows (RSUs in thousands):</w:t>
      </w:r>
    </w:p>
    <w:tbl>
      <w:tblPr>
        <w:tblW w:w="7541" w:type="dxa"/>
        <w:jc w:val="left"/>
        <w:tblInd w:w="0" w:type="dxa"/>
        <w:tblLayout w:type="fixed"/>
        <w:tblCellMar>
          <w:top w:w="28" w:type="dxa"/>
          <w:left w:w="28" w:type="dxa"/>
          <w:bottom w:w="28" w:type="dxa"/>
          <w:right w:w="28" w:type="dxa"/>
        </w:tblCellMar>
      </w:tblPr>
      <w:tblGrid>
        <w:gridCol w:w="939"/>
        <w:gridCol w:w="825"/>
        <w:gridCol w:w="830"/>
        <w:gridCol w:w="469"/>
        <w:gridCol w:w="469"/>
        <w:gridCol w:w="471"/>
        <w:gridCol w:w="109"/>
        <w:gridCol w:w="109"/>
        <w:gridCol w:w="109"/>
        <w:gridCol w:w="516"/>
        <w:gridCol w:w="1510"/>
        <w:gridCol w:w="268"/>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 total of $120.3 million of unrecognized stock-based compensation expense related to RSUs.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2021 Plan provides for issuance of performance stock units, or PSUs. PSUs granted are contingent upon the achievement of predetermined market, performance, and service conditions. PSUs are awarded to executives of the Company and generally time vest over a period of up to three years. Vesting is also generally contingent upon achievement of applicable performance metrics. PSU expense is recognized over the requisite service period.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awarded PSU shares with both a performance and service condition.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PSU activity and related information are as follows (PSUs in thousands):</w:t>
      </w:r>
    </w:p>
    <w:p>
      <w:pPr>
        <w:pStyle w:val="TextBody"/>
        <w:bidi w:val="0"/>
        <w:spacing w:before="0" w:after="0"/>
        <w:ind w:left="0" w:right="0" w:firstLine="360"/>
        <w:jc w:val="left"/>
        <w:rPr/>
      </w:pPr>
      <w:r>
        <w:rPr/>
      </w:r>
    </w:p>
    <w:tbl>
      <w:tblPr>
        <w:tblW w:w="7541" w:type="dxa"/>
        <w:jc w:val="left"/>
        <w:tblInd w:w="0" w:type="dxa"/>
        <w:tblLayout w:type="fixed"/>
        <w:tblCellMar>
          <w:top w:w="28" w:type="dxa"/>
          <w:left w:w="28" w:type="dxa"/>
          <w:bottom w:w="28" w:type="dxa"/>
          <w:right w:w="28" w:type="dxa"/>
        </w:tblCellMar>
      </w:tblPr>
      <w:tblGrid>
        <w:gridCol w:w="939"/>
        <w:gridCol w:w="825"/>
        <w:gridCol w:w="830"/>
        <w:gridCol w:w="469"/>
        <w:gridCol w:w="469"/>
        <w:gridCol w:w="471"/>
        <w:gridCol w:w="109"/>
        <w:gridCol w:w="109"/>
        <w:gridCol w:w="109"/>
        <w:gridCol w:w="516"/>
        <w:gridCol w:w="1510"/>
        <w:gridCol w:w="268"/>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change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related to unvested PSUs was $4.9 million.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$3.3 million of unrecognized cost related to the Employee Stock Purchase Plan, or ESPP. This cost is expected to be recognized over a weighted average period of 0.7 years. As of June 30, 2026, a total of 2.2 million shares were available for issuance under the ESPP.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options granted to employees was estimated as of the grant date using the Black-Scholes model assuming the weighted-average assumptions listed in the following table:</w:t>
      </w:r>
    </w:p>
    <w:tbl>
      <w:tblPr>
        <w:tblW w:w="5313" w:type="dxa"/>
        <w:jc w:val="left"/>
        <w:tblInd w:w="0" w:type="dxa"/>
        <w:tblLayout w:type="fixed"/>
        <w:tblCellMar>
          <w:top w:w="28" w:type="dxa"/>
          <w:left w:w="28" w:type="dxa"/>
          <w:bottom w:w="28" w:type="dxa"/>
          <w:right w:w="28" w:type="dxa"/>
        </w:tblCellMar>
      </w:tblPr>
      <w:tblGrid>
        <w:gridCol w:w="875"/>
        <w:gridCol w:w="768"/>
        <w:gridCol w:w="771"/>
        <w:gridCol w:w="211"/>
        <w:gridCol w:w="511"/>
        <w:gridCol w:w="271"/>
        <w:gridCol w:w="109"/>
        <w:gridCol w:w="109"/>
        <w:gridCol w:w="109"/>
        <w:gridCol w:w="211"/>
        <w:gridCol w:w="616"/>
        <w:gridCol w:w="271"/>
        <w:gridCol w:w="109"/>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volatility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Expected dividend rate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Net Loss Per Share</w:t>
      </w:r>
    </w:p>
    <w:p>
      <w:pPr>
        <w:pStyle w:val="TextBody"/>
        <w:bidi w:val="0"/>
        <w:spacing w:lineRule="auto" w:line="288" w:before="9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was determined as follows (in thousands, except per share amounts): </w:t>
      </w:r>
    </w:p>
    <w:p>
      <w:pPr>
        <w:pStyle w:val="TextBody"/>
        <w:bidi w:val="0"/>
        <w:spacing w:before="0" w:after="180"/>
        <w:ind w:left="0" w:right="0" w:firstLine="360"/>
        <w:jc w:val="left"/>
        <w:rPr/>
      </w:pPr>
      <w:r>
        <w:rPr/>
      </w:r>
    </w:p>
    <w:tbl>
      <w:tblPr>
        <w:tblW w:w="9889" w:type="dxa"/>
        <w:jc w:val="left"/>
        <w:tblInd w:w="0" w:type="dxa"/>
        <w:tblLayout w:type="fixed"/>
        <w:tblCellMar>
          <w:top w:w="28" w:type="dxa"/>
          <w:left w:w="28" w:type="dxa"/>
          <w:bottom w:w="28" w:type="dxa"/>
          <w:right w:w="28" w:type="dxa"/>
        </w:tblCellMar>
      </w:tblPr>
      <w:tblGrid>
        <w:gridCol w:w="1394"/>
        <w:gridCol w:w="1219"/>
        <w:gridCol w:w="1241"/>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securities outstanding have been excluded from the computations of weighted-average shares outstanding because such securities have an antidilutive impact due to losses reported (in common stock equivalent shares, in thousands): </w:t>
      </w:r>
    </w:p>
    <w:tbl>
      <w:tblPr>
        <w:tblW w:w="5622" w:type="dxa"/>
        <w:jc w:val="left"/>
        <w:tblInd w:w="0" w:type="dxa"/>
        <w:tblLayout w:type="fixed"/>
        <w:tblCellMar>
          <w:top w:w="28" w:type="dxa"/>
          <w:left w:w="28" w:type="dxa"/>
          <w:bottom w:w="28" w:type="dxa"/>
          <w:right w:w="28" w:type="dxa"/>
        </w:tblCellMar>
      </w:tblPr>
      <w:tblGrid>
        <w:gridCol w:w="1182"/>
        <w:gridCol w:w="1040"/>
        <w:gridCol w:w="1048"/>
        <w:gridCol w:w="308"/>
        <w:gridCol w:w="308"/>
        <w:gridCol w:w="156"/>
        <w:gridCol w:w="109"/>
        <w:gridCol w:w="109"/>
        <w:gridCol w:w="109"/>
        <w:gridCol w:w="308"/>
        <w:gridCol w:w="308"/>
        <w:gridCol w:w="156"/>
        <w:gridCol w:w="109"/>
        <w:gridCol w:w="109"/>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performance stock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disaggregated by type and geography (in thousands):</w:t>
      </w:r>
    </w:p>
    <w:tbl>
      <w:tblPr>
        <w:tblW w:w="8370" w:type="dxa"/>
        <w:jc w:val="left"/>
        <w:tblInd w:w="0" w:type="dxa"/>
        <w:tblLayout w:type="fixed"/>
        <w:tblCellMar>
          <w:top w:w="28" w:type="dxa"/>
          <w:left w:w="28" w:type="dxa"/>
          <w:bottom w:w="28" w:type="dxa"/>
          <w:right w:w="28" w:type="dxa"/>
        </w:tblCellMar>
      </w:tblPr>
      <w:tblGrid>
        <w:gridCol w:w="1073"/>
        <w:gridCol w:w="938"/>
        <w:gridCol w:w="959"/>
        <w:gridCol w:w="211"/>
        <w:gridCol w:w="721"/>
        <w:gridCol w:w="109"/>
        <w:gridCol w:w="109"/>
        <w:gridCol w:w="109"/>
        <w:gridCol w:w="109"/>
        <w:gridCol w:w="211"/>
        <w:gridCol w:w="721"/>
        <w:gridCol w:w="109"/>
        <w:gridCol w:w="211"/>
        <w:gridCol w:w="826"/>
        <w:gridCol w:w="109"/>
        <w:gridCol w:w="109"/>
        <w:gridCol w:w="109"/>
        <w:gridCol w:w="109"/>
        <w:gridCol w:w="211"/>
        <w:gridCol w:w="826"/>
        <w:gridCol w:w="109"/>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 sales and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Handpieces and other consumables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of U.S.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 sales and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Handpieces and other consumables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outside of U.S.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$5.7 million and $9.2 million of revenue, respectively, that was included in the deferred revenue balance as of March 31, 2026 and December 31, 2025. During the three and six months ended June 30, 2025, the Company recognized $2.4 million and $7.1 million of revenue, respectively, that was included in the deferred revenue balance as of March 31,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Segment, Geographical, and Customer Concentration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The Company’s chief operating decision maker, or CODM, its Chief Executive Officer, reviews the Company’s forecast, as well as budget to actual financial information, as key inputs to making decisions on resource allocation and assessing the performance of the business. The CODM monitors budget versus actual results using income (loss) from operations, income (loss) before provision for income taxes, and net income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expenses within income from operations, as well as within net income (loss), include cost of sales, research and development expenses, and selling, general and administrative expenses, which are each separately presented on the Company’s consolidated statements of operations. Other segment items within net income (loss) include interest expense, and interest and other income, net on an aggregate basis for the purposes of allocating resources and evaluating financial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assets are primarily based in the United States.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No customers accounted for more than 10% of revenue during the three and six months ended June 30, 2026 and 2025.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 customer accounted for more than 10% of accounts receivable at June 30, 2026 and December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by significant geographical locations for the periods indicated:</w:t>
      </w:r>
    </w:p>
    <w:tbl>
      <w:tblPr>
        <w:tblW w:w="7671" w:type="dxa"/>
        <w:jc w:val="left"/>
        <w:tblInd w:w="0" w:type="dxa"/>
        <w:tblLayout w:type="fixed"/>
        <w:tblCellMar>
          <w:top w:w="28" w:type="dxa"/>
          <w:left w:w="28" w:type="dxa"/>
          <w:bottom w:w="28" w:type="dxa"/>
          <w:right w:w="28" w:type="dxa"/>
        </w:tblCellMar>
      </w:tblPr>
      <w:tblGrid>
        <w:gridCol w:w="789"/>
        <w:gridCol w:w="691"/>
        <w:gridCol w:w="695"/>
        <w:gridCol w:w="109"/>
        <w:gridCol w:w="109"/>
        <w:gridCol w:w="109"/>
        <w:gridCol w:w="189"/>
        <w:gridCol w:w="189"/>
        <w:gridCol w:w="470"/>
        <w:gridCol w:w="189"/>
        <w:gridCol w:w="189"/>
        <w:gridCol w:w="189"/>
        <w:gridCol w:w="189"/>
        <w:gridCol w:w="189"/>
        <w:gridCol w:w="470"/>
        <w:gridCol w:w="109"/>
        <w:gridCol w:w="109"/>
        <w:gridCol w:w="109"/>
        <w:gridCol w:w="180"/>
        <w:gridCol w:w="181"/>
        <w:gridCol w:w="430"/>
        <w:gridCol w:w="172"/>
        <w:gridCol w:w="172"/>
        <w:gridCol w:w="172"/>
        <w:gridCol w:w="180"/>
        <w:gridCol w:w="181"/>
        <w:gridCol w:w="430"/>
        <w:gridCol w:w="109"/>
        <w:gridCol w:w="109"/>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individual country outside the United States accounted for more than 10% of the Company’s revenue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Guarantees and Indemnifications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material claims or been required to defend any action related to its indemnification obligations. As of June 30, 2026 and December 31, 2025, the Company does not have any material indemnification claims that were probable or reasonably possible and consequently has not recorded related liabilities.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legal proceedings arising in the ordinary course of its business. The Company is not presently a party to any legal proceedings that, in the opinion of management, would have a material adverse effect on the business. Regardless of outcome, litigation can have an adverse impact on the Company due to defense and settlement costs, diversion of management resources, negative publicity and reputation harm, and other factors.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liability and related charge to earnings are recorded in the financial statements for legal contingencies when the loss is considered probable and the amount can be reasonably estimated. The assessment is re-evaluated each accounting period and is based on all available information.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Defined Contribution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defined contribution retirement savings plan under Section 401(k) of the Internal Revenue Code. This plan allows eligible employees to defer a portion of their annual compensation on both a pre-tax and after-tax basis. Employer contributions were $1.0 million and $0.9 million for the three months ended June 30, 2026 and 2025. Employer contributions were $2.1 million and $1.7 million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financial statements and related notes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the section titled “Risk Factors” and elsewhere in this report. Please also see the section titled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surgical robotics company focused on advancing patient care by developing transformative solutions in urology. We develop, manufacture and sell the AquaBeam Robotic System and HYDROS Robotic System, which are advanced, image-guided, surgical robotic systems for use in minimally invasive urologic surgery, with an initial focus on treating benign prostatic hyperplasia, or BPH. BPH is the most common prostate disease and impacts approximately 40 million men in the United States. Each of our robotic systems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robotic systems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is independent of prostate size and shape, and delivers resection independent of surgeon experience. We have developed a significant and growing body of clinical evidence, which includes nine clinical studies and over 150 peer-reviewed publications, supporting the benefits and clinical advantages of Aquablation therapy. As of June 30, 2026, we had an install base of 1,036 AquaBeam Robotic Systems and HYDROS Robotic Systems globally, including 816 in the United States.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U.S. pivotal trial, the WATER study, is the only FDA pivotal study randomized against transurethral resection of prostate, or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manufacture the robotic systems, the single-use disposable handpiece, integrated scope and other accessories at our facility in San Jose, California. This includes supporting the supply chain distribution and logistics of the various components. Components, sub-assemblies and services required to manufacture our products are purchased from numerous global suppliers. Each robotic system is shipped to our customers with a third-party manufactured ultrasound system and probe. We utilize a well-known third-party logistics provider located in the United States and the Netherlands to ship our products to our customers globally.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generated revenue of $177.6 million and incurred a net loss of $58.5 million for the six months ended June 30, 2026, compared to revenue of $148.3 million and a net loss of $44.3 million for the six months ended June 30, 2025. As of June 30, 2026, we had cash and cash equivalents of $227.9 million and an accumulated deficit of $700.1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before="180" w:after="283"/>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Factors Affecting Our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there are several important factors that have impacted and that we expect will impact our operating performance and results of operations for the foreseeable future. While these factors may present significant opportunities for us, they also pose significant risks and challenges that we must address. See the section titled “Risk Factors” for more information. These factors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Grow our install base of robotic systems:</w:t>
      </w:r>
      <w:r>
        <w:rPr>
          <w:color w:val="000000"/>
        </w:rPr>
        <w:t xml:space="preserve"> </w:t>
      </w:r>
      <w:r>
        <w:rPr>
          <w:rFonts w:ascii="Times New Roman;serif" w:hAnsi="Times New Roman;serif"/>
          <w:b w:val="false"/>
          <w:color w:val="000000"/>
          <w:sz w:val="20"/>
        </w:rPr>
        <w:t>As of June 30, 2026, we had an install base of 1,036 robotic systems globally, including 816 in the United States. In the United States, we are initially focused on driving adoption of Aquablation therapy among urologists that perform hospital-based resective BPH surgery. We target approximately 2,700 hospitals that perform resective BPH procedures in the United States. To penetrate these hospitals, we expect to continue to increase our direct team of capital sales representatives, who are focused on driving system placement within hospitals by engaging with key surgeons and decision makers to educate them about the compelling value proposition of Aquablation therapy. As we increase our install base of robotic systems, we expect our revenue to increase as a result of the system sale and resulting utilization.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Increase system utilization:</w:t>
      </w:r>
      <w:r>
        <w:rPr>
          <w:color w:val="000000"/>
        </w:rPr>
        <w:t xml:space="preserve"> </w:t>
      </w:r>
      <w:r>
        <w:rPr>
          <w:rFonts w:ascii="Times New Roman;serif" w:hAnsi="Times New Roman;serif"/>
          <w:b w:val="false"/>
          <w:color w:val="000000"/>
          <w:sz w:val="20"/>
        </w:rPr>
        <w:t xml:space="preserve">Our revenue is significantly impacted by the utilization of our robotic systems. Once we place a system within a hospital 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expect to leverage their experiences to capture more surgical volumes and establish Aquablation therapy as the surgical standard of care.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Reimbursement and coverage decisions by third-party payors.</w:t>
      </w:r>
      <w:r>
        <w:rPr>
          <w:color w:val="000000"/>
        </w:rPr>
        <w:t xml:space="preserve"> </w:t>
      </w:r>
      <w:r>
        <w:rPr>
          <w:rFonts w:ascii="Times New Roman;serif" w:hAnsi="Times New Roman;serif"/>
          <w:b w:val="false"/>
          <w:color w:val="000000"/>
          <w:sz w:val="20"/>
        </w:rPr>
        <w:t>Healthcare providers in the United States generally rely on third-party payors, principally federal Medicare, state Medicaid and private health insurance plans, to cover all or part of the cost of procedures using our robotic system. The revenue we are able to generate from sales of our products depends in large part on the availability of sufficient reimbursement from such payors. Effective in 2021, all local MACs, representing 100% of eligible Medicare patients, issued final positive local coverage determinations to provide Medicare beneficiaries with access to Aquablation therapy in all 50 states. We believe that these favorable coverage decisions have been a catalyst for hospital adoption of our robotic systems. We believe our strong body of clinical evidence and support from key societies, supplemented by the momentum from Medicare coverage, have led to favorable coverage decisions from many large commercial payors. We plan to leverage these successes in our active discussions with commercial payors to establish additional positive national and regional coverage policies. We believe that additional commercial payor coverage will contribute to increasing utilization of our system over time. Outside of the United States, we have ongoing efforts in key markets to expand established coverage and further improve patient access to Aquablation therapy.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 xml:space="preserve">The results of our operations will depend, in part, on our ability to increase our gross margins by more effectively managing our costs to produce our robotic systems and single-use disposable handpieces, and to scale our manufacturing operations efficiently. We anticipate that as we expand our sales and marketing efforts and drive further sales growth, our purchasing costs on a per unit basis may decrease, and in turn improve our gross margin. As our commercial operations continue to grow, we expect to continue to realize operating leverage through increased scale efficiencies.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Investment in research and development to drive continuous improvements and innovation.</w:t>
      </w:r>
      <w:r>
        <w:rPr>
          <w:color w:val="000000"/>
        </w:rPr>
        <w:t xml:space="preserve"> </w:t>
      </w:r>
      <w:r>
        <w:rPr>
          <w:rFonts w:ascii="Times New Roman;serif" w:hAnsi="Times New Roman;serif"/>
          <w:b w:val="false"/>
          <w:color w:val="000000"/>
          <w:sz w:val="20"/>
        </w:rPr>
        <w:t xml:space="preserve">We are currently developing additional and next generation technologies to support and improve Aquablation therapy to further satisfy the evolving needs of surgeons and their patients as well as to further enhance the usability and scalability of our robotic systems. We also plan to leverage our treatment data and software development capabilities to integrate and further develop artificial intelligence and machine learning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enable computer-assisted anatomy recognition and improved treatment planning and personalization. Our future growth is dependent on these continuous improvements which require significant resources and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our revenue primarily from the sales and leases of our robotic systems, sales of our single-use disposable handpieces that are used during each surgery performed with our system, and related accessories. Additionally, we also derive revenue from service and repair and extended service contracts with our existing customers. We expect our revenue to increase in absolute dollars for the foreseeable future as we continue to focus on driving adoption of Aquablation therapy, and increased system utilization, though it may fluctuate from quarter to quarter.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by significant geographical locations for the periods indicated:</w:t>
      </w:r>
    </w:p>
    <w:tbl>
      <w:tblPr>
        <w:tblW w:w="7235" w:type="dxa"/>
        <w:jc w:val="left"/>
        <w:tblInd w:w="0" w:type="dxa"/>
        <w:tblLayout w:type="fixed"/>
        <w:tblCellMar>
          <w:top w:w="28" w:type="dxa"/>
          <w:left w:w="28" w:type="dxa"/>
          <w:bottom w:w="28" w:type="dxa"/>
          <w:right w:w="28" w:type="dxa"/>
        </w:tblCellMar>
      </w:tblPr>
      <w:tblGrid>
        <w:gridCol w:w="789"/>
        <w:gridCol w:w="691"/>
        <w:gridCol w:w="695"/>
        <w:gridCol w:w="189"/>
        <w:gridCol w:w="189"/>
        <w:gridCol w:w="470"/>
        <w:gridCol w:w="189"/>
        <w:gridCol w:w="189"/>
        <w:gridCol w:w="189"/>
        <w:gridCol w:w="189"/>
        <w:gridCol w:w="189"/>
        <w:gridCol w:w="470"/>
        <w:gridCol w:w="109"/>
        <w:gridCol w:w="109"/>
        <w:gridCol w:w="109"/>
        <w:gridCol w:w="180"/>
        <w:gridCol w:w="181"/>
        <w:gridCol w:w="430"/>
        <w:gridCol w:w="172"/>
        <w:gridCol w:w="172"/>
        <w:gridCol w:w="172"/>
        <w:gridCol w:w="180"/>
        <w:gridCol w:w="181"/>
        <w:gridCol w:w="430"/>
        <w:gridCol w:w="109"/>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expect that both our United States and international revenue will increase in the near term as we continue to expand the install base of our robotic systems and increase the related single-use disposable handpieces sold. We expect our increase in revenue in absolute dollars to be larger in the United States.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Cost of Sales and Gross Margin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consists primarily of manufacturing overhead costs, material costs, warranty and service costs, direct labor, scrap and other direct costs such as shipping costs. A significant portion of our cost of sales currently consists of manufacturing overhead costs. These overhead costs include compensation for personnel, including stock-based compensation, facilities, equipment and operations supervision, quality assurance and material procurement. We expect our cost of sales to increase in absolute dollars for the foreseeable future primarily as, and to the extent, our revenue grows, or we make additional investments in our manufacturing capabilities, though it may fluctuate from period to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calculate gross margin percentage as gross profit divided by revenue. Our gross margin has been and will continue to be affected by a variety of factors, primarily, product and geographic mix and the resulting average selling prices, production volumes, manufacturing costs and product yields, and to a lesser extent the implementation of cost reduction strategies. We expect our gross margin to increase over the long term as our production volume increases and as we spread the fixed portion of our manufacturing overhead costs over a larger number of units produced, thereby significantly reducing our per unit manufacturing costs, though it may fluctuate from quarter to quarter. Our gross margins can fluctuate due to geographic mix. To the extent we sell more systems and handpieces in the United States, we expect our margins will increase due to the higher average selling prices as compared to sales outside of the United States.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or R&amp;D, expenses consist primarily of engineering, product development, regulatory affairs, consulting services, clinical trial expenses, materials, depreciation and other costs associated with products and technologies being developed. These expenses include employee and non-employee compensation, including stock-based compensation, supplies, materials, quality assurance expenses, consulting, related travel expenses and facilities expenses. We expect our R&amp;D expenses to increase in absolute dollars for the foreseeable future as we make strategic investments in R&amp;D, continue to develop and enhance existing products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technologies, though it may fluctuate from quarter to quarter. However, over time, we expect our R&amp;D expenses to decrease as a percentage of revenue.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or SG&amp;A, expenses consist primarily of compensation for personnel, including stock-based compensation, related to selling, marketing, post-market clinical affairs, professional education, finance, information technology, and human resource functions. SG&amp;A expenses also include commissions, training, travel expenses, promotional activities, conferences, trade shows, professional services fees, audit fees, legal fees, insurance costs, bad debt expense and general corporate expenses including allocated facilities-related expenses. Clinical study expenses include trial design, site reimbursement, data management and travel expenses. We expect our SG&amp;A expenses to increase in absolute dollars for the foreseeable future as we expand our commercial infrastructure in order for us to execute on our long-term growth plan, though it may fluctuate from quarter to quarter. However, over time, we expect our SG&amp;A expenses to decrease as a percentage of revenue.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consists primarily of interest expense from our long-term debt.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Interest and Other Income,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consists primarily of interest income from our cash and cash equivalents balances.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foreign income taxes, as the Company does not have U.S. federal or state taxable income for the periods presented.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net-operating loss carryforwards.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show our results of operations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left"/>
        <w:rPr/>
      </w:pPr>
      <w:r>
        <w:rPr/>
      </w:r>
    </w:p>
    <w:tbl>
      <w:tblPr>
        <w:tblW w:w="8583" w:type="dxa"/>
        <w:jc w:val="left"/>
        <w:tblInd w:w="0" w:type="dxa"/>
        <w:tblLayout w:type="fixed"/>
        <w:tblCellMar>
          <w:top w:w="28" w:type="dxa"/>
          <w:left w:w="28" w:type="dxa"/>
          <w:bottom w:w="28" w:type="dxa"/>
          <w:right w:w="28" w:type="dxa"/>
        </w:tblCellMar>
      </w:tblPr>
      <w:tblGrid>
        <w:gridCol w:w="1176"/>
        <w:gridCol w:w="1037"/>
        <w:gridCol w:w="1041"/>
        <w:gridCol w:w="211"/>
        <w:gridCol w:w="796"/>
        <w:gridCol w:w="271"/>
        <w:gridCol w:w="109"/>
        <w:gridCol w:w="109"/>
        <w:gridCol w:w="109"/>
        <w:gridCol w:w="211"/>
        <w:gridCol w:w="796"/>
        <w:gridCol w:w="271"/>
        <w:gridCol w:w="109"/>
        <w:gridCol w:w="109"/>
        <w:gridCol w:w="109"/>
        <w:gridCol w:w="211"/>
        <w:gridCol w:w="721"/>
        <w:gridCol w:w="109"/>
        <w:gridCol w:w="109"/>
        <w:gridCol w:w="109"/>
        <w:gridCol w:w="109"/>
        <w:gridCol w:w="216"/>
        <w:gridCol w:w="219"/>
        <w:gridCol w:w="316"/>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051" w:type="dxa"/>
            <w:gridSpan w:val="18"/>
            <w:tcBorders/>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8643" w:type="dxa"/>
        <w:jc w:val="left"/>
        <w:tblInd w:w="0" w:type="dxa"/>
        <w:tblLayout w:type="fixed"/>
        <w:tblCellMar>
          <w:top w:w="28" w:type="dxa"/>
          <w:left w:w="28" w:type="dxa"/>
          <w:bottom w:w="28" w:type="dxa"/>
          <w:right w:w="28" w:type="dxa"/>
        </w:tblCellMar>
      </w:tblPr>
      <w:tblGrid>
        <w:gridCol w:w="1176"/>
        <w:gridCol w:w="1037"/>
        <w:gridCol w:w="1041"/>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16"/>
        <w:gridCol w:w="219"/>
        <w:gridCol w:w="316"/>
      </w:tblGrid>
      <w:tr>
        <w:trPr/>
        <w:tc>
          <w:tcPr>
            <w:tcW w:w="117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4081" w:type="dxa"/>
            <w:gridSpan w:val="18"/>
            <w:tcBorders/>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(58,499)</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(44,316)</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i/>
          <w:color w:val="000000"/>
          <w:sz w:val="20"/>
        </w:rPr>
        <w:t>Comparison of Three and Six</w:t>
      </w:r>
      <w:r>
        <w:rPr>
          <w:color w:val="000000"/>
        </w:rPr>
        <w:t xml:space="preserve"> </w:t>
      </w:r>
      <w:r>
        <w:rPr>
          <w:rFonts w:ascii="Times New Roman;serif" w:hAnsi="Times New Roman;serif"/>
          <w:b/>
          <w:i/>
          <w:color w:val="000000"/>
          <w:sz w:val="20"/>
        </w:rPr>
        <w:t xml:space="preserve">Months Ended June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w:t>
      </w:r>
    </w:p>
    <w:tbl>
      <w:tblPr>
        <w:tblW w:w="7705" w:type="dxa"/>
        <w:jc w:val="left"/>
        <w:tblInd w:w="0" w:type="dxa"/>
        <w:tblLayout w:type="fixed"/>
        <w:tblCellMar>
          <w:top w:w="28" w:type="dxa"/>
          <w:left w:w="28" w:type="dxa"/>
          <w:bottom w:w="28" w:type="dxa"/>
          <w:right w:w="28" w:type="dxa"/>
        </w:tblCellMar>
      </w:tblPr>
      <w:tblGrid>
        <w:gridCol w:w="1073"/>
        <w:gridCol w:w="946"/>
        <w:gridCol w:w="95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8"/>
        <w:gridCol w:w="158"/>
        <w:gridCol w:w="316"/>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695" w:type="dxa"/>
            <w:gridSpan w:val="18"/>
            <w:tcBorders/>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 sales and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Handpieces and other consumables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tbl>
      <w:tblPr>
        <w:tblW w:w="7915" w:type="dxa"/>
        <w:jc w:val="left"/>
        <w:tblInd w:w="0" w:type="dxa"/>
        <w:tblLayout w:type="fixed"/>
        <w:tblCellMar>
          <w:top w:w="28" w:type="dxa"/>
          <w:left w:w="28" w:type="dxa"/>
          <w:bottom w:w="28" w:type="dxa"/>
          <w:right w:w="28" w:type="dxa"/>
        </w:tblCellMar>
      </w:tblPr>
      <w:tblGrid>
        <w:gridCol w:w="1073"/>
        <w:gridCol w:w="946"/>
        <w:gridCol w:w="95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58"/>
        <w:gridCol w:w="158"/>
        <w:gridCol w:w="316"/>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800" w:type="dxa"/>
            <w:gridSpan w:val="18"/>
            <w:tcBorders/>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 sales and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Handpieces and other consumables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increased $15.3 million, or 19%, to $94.5 million during the three months ended June 30, 2026, compared to $79.2 million during the three months ended June 30, 2025, and increased $29.3 million or 20% to $177.6 million during the six months ended June 30, 2026, compared to $148.3 million during the six months ended June 30, 2025. The growth in revenue was primarily attributable to $83.4 million and $155.4 million in revenue derived from the United States for the three and six months ended June 30, 2026. The increase was due to higher sales volumes of systems, handpieces, other consumables, and service contracts.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Sales and Gross Margin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sales increased $4.7 million, or 17%, to $32.1 million during the three months ended June 30, 2026, compared to $27.4 million during the three months ended June 30, 2025, and increased $8.9 million or 17% to $61.3 million during the six months ended June 30, 2026, compared to $52.4 million during the six months ended June 30, 2025. The increase in cost of sales was primarily attributable to the growth in the number of units sold.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margin increased to 66% during the three months ended June 30, 2026, compared to 65% for the three months ended June 30, 2025, and remained flat at 65% during the six months ended June 30, 2026, compared to the six months ended June 30, 2025. The year over year increase in gross margin was primarily attributable to a one-time tariff refund of $2.9 million, partially offset by increases in overhead absorption, warranty replacements and excess and obsolete reserves.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expenses increased $2.5 million, or 14%, to $20.1 million during the three months ended June 30, 2026, compared to $17.6 million during the three months ended June 30, 2025 and increased $7.5 million or 22% to $41.6 million during the six months ended June 30, 2026, compared to $34.0 million during the six months ended June 30, 2025. The increase in R&amp;D expenses was primarily due to employee-related expenses of our R&amp;D organization such as salaries and wages and stock-based compensation. These expenses support ongoing product improvements and the development of additional and next generation technologies.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$13.4 million, or 24%, to $69.7 million during the three months ended June 30, 2026, compared to $56.3 million during the three months ended June 30, 2025, and increased $23.3 million or 21% to $134.8 million during the six months ended June 30, 2026, compared to $111.5 million during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ended June 30, 2025. The increase in SG&amp;A expenses was primarily due to employee-related expenses of our sales and marketing organization such as salaries and wages and stock-based compensation expense primarily to expand the commercial organization, and employee-related expenses of our administrative organization such as salaries and wages and stock-based compensation expense, to drive and support our growth in revenue.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approximately $0.1 million, or 6%, to $0.8 million during the three months ended June 30, 2026, compared to $0.9 million during the three months ended June 30, 2025, and decreased $0.1 million or 6% to $1.7 million during the six months ended June 30, 2026, compared to $1.8 million during the six months ended June 30, 2025. The decrease in interest expense was primarily due to a decrease in the interest rate as compared to the prior period.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and Other Income, Net </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decreased $2.2 million for the three months ended June 30, 2026 and decreased $4.0 million during the six months ended June 30, 2026. The decreases were primarily due to a decrease in interest income, which was due to our decreased cash balances.</w:t>
      </w:r>
    </w:p>
    <w:p>
      <w:pPr>
        <w:pStyle w:val="TextBody"/>
        <w:bidi w:val="0"/>
        <w:spacing w:lineRule="auto" w:line="288" w:before="18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18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was immaterial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$227.9 million, an accumulated deficit of $700.1 million, and $52.0 million outstanding on our loan facility. We expect our expenses will increase for the foreseeable future, as we continue to make substantial investments in sales and marketing, operations and research and development. Our future funding requirements will depend on many factors,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degree and rate of market acceptance of our products and Aquablation therapy;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and timing of investment in our sales force and expansion of our commercial organization;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rate of progress and cost of our current or future clinical trials and registries;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of our research and development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and timing of additional regulatory clearances or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associated with any product recall that may occur;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associated with a regulatory or government action or other litigation;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associated with the manufacturing of our products at increased production levels;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attaining, defending and enforcing our intellectual property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we acquire third-party companies, products or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and timing of any other collaborative, licensing and other arrangements that we may establish;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emergence of competing technologies or other adverse market developments;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at which we expand internationally.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operating plan, we currently believe that our existing cash and cash equivalents and anticipated revenue will be sufficient to meet our capital requirements and fund our operations through at least the next twelve months from the issuance date of the financial statements. We have based this estimate on assumptions that may prove to be wrong, and we may need to utilize additional available capital resources. If these sources are insufficient to satisfy our liquidity requirements, we may seek to sell additional public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2022, we entered into a loan and security agreement with Canadian Imperial Bank of Commerce. The agreement provides for a senior secured term loan facility in the aggregate principal amount of $52.0 million (the “Term Loan Facility”), which was borrowed in full.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 Loan Facility is scheduled to mature on October 6, 2027, the fifth anniversary of the closing date, or the Maturity Date. We have the option to prepay the Term Loan Facility without any prepayment charge or fee.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loan borrowed under the Term Loan Facility bears interest at an annual rate equal to the secured overnight financing rate ("SOFR") (calculated based on an adjustment of .10%, .15% and .25%, respectively, for one-month, three-month or six-month term SOFR as of a specified date, subject to a floor of 1.5%) plus an applicable margin of 2.25%.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obligations under the loan and security agreement are secured by substantially all of our assets, including our intellectual property and by a pledge of all of our equity interests in its U.S. subsidiaries and 65% of our equity interests in our non-U.S. subsidiaries that are directly owned by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2025, we entered into a second amendment to the loan and security agreement (the “Second Amendment”), which, among other things, modified the repayment terms such that the entire principal amount outstanding is now due on the Maturity Date, replacing the prior repayment schedule of interest-only payments followed by monthly principal amortization payments. After giving effect to the Second Amendment, we are obligated to maintain in collateral accounts held at the lender (a) if our cash and cash equivalents is less than $50.0 million, 100% of our cash and cash equivalents; or (b) if our cash and cash equivalents is greater than or equal to $50.0 million, the greater of (i) $50.0 million or (ii) 50% of our cash and cash equivalents, with amounts exceeding $50.0 million permitted to be held outside of the lender in collateral accounts managed by the lender.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loan and security agreement contains certain customary representations and warranties, affirmative and negative covenants, and events of default. Under the loan and security agreement, if we maintain less than $100.0 million in available cash, then we are required to meet either one of two financial covenants: a minimum unrestricted cash covenant or a minimum revenue and growth covenant. The minimum unrestricted cash covenant requires that we maintain cash reserve not less than the greater of (i) $20.0 million, (ii) the absolute value of EBITDA losses (if any) for the most recent consecutive four-month period then ended or (iii) the aggregate outstanding principal amount of $52.0 million. The minimum revenue and growth covenant requires our revenue, for the consecutive twelve-month period as of each measurement date, of not less than $50.0 million and of at least 115% as of the last day of the consecutive twelve-month period of the immediately preceding year. If we maintain at least $100.0 million in available cash, then we are not required to meet such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9077" w:type="dxa"/>
        <w:jc w:val="left"/>
        <w:tblInd w:w="0" w:type="dxa"/>
        <w:tblLayout w:type="fixed"/>
        <w:tblCellMar>
          <w:top w:w="28" w:type="dxa"/>
          <w:left w:w="28" w:type="dxa"/>
          <w:bottom w:w="28" w:type="dxa"/>
          <w:right w:w="28" w:type="dxa"/>
        </w:tblCellMar>
      </w:tblPr>
      <w:tblGrid>
        <w:gridCol w:w="2061"/>
        <w:gridCol w:w="1814"/>
        <w:gridCol w:w="1825"/>
        <w:gridCol w:w="211"/>
        <w:gridCol w:w="796"/>
        <w:gridCol w:w="109"/>
        <w:gridCol w:w="109"/>
        <w:gridCol w:w="109"/>
        <w:gridCol w:w="109"/>
        <w:gridCol w:w="211"/>
        <w:gridCol w:w="796"/>
        <w:gridCol w:w="109"/>
        <w:gridCol w:w="109"/>
        <w:gridCol w:w="109"/>
        <w:gridCol w:w="109"/>
        <w:gridCol w:w="491"/>
      </w:tblGrid>
      <w:tr>
        <w:trPr/>
        <w:tc>
          <w:tcPr>
            <w:tcW w:w="206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18" w:type="dxa"/>
            <w:gridSpan w:val="4"/>
            <w:tcBorders/>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261" w:type="dxa"/>
            <w:gridSpan w:val="10"/>
            <w:tcBorders/>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Cash Used in Operating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used in operating activities was $57.4 million, consisting primarily of a net loss of $58.5 million and an increase in net operating assets of $31.6 million, partially offset by non-cash charges of $32.8 million. The cash used in operations was primarily due to our net loss due to the increase in operating expenses to support our commercialization and development activities. The expansion of our commercialization activities resulted in an increase in accounts receivable and inventory. Non-cash charges consisted primarily of stock-based compensation, depreciation, and reserves for excess and obsolete inventory.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operating activities was $32.0 million, consisting primarily of a net loss of $44.3 million and an increase in net operating assets of $13.8 million, partially offset by non-cash charges of $26.1 million. The cash used in operations was primarily due to our net loss due to the increase in operating expenses to support our commercialization and development activities. The expansion of our commercialization activities resulted in an increase in inventory and accounts payable, partially offset by a decrease in accounts receivable, due to timing of cash receipts. Non-cash charges consisted primarily of stock-based compensation, depreciation, and provision for credit losses.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Cash Used in Investing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net cash used in investing activities was $5.9 million, consisting of purchases of property and equipment. During the six months ended June 30, 2025, net cash used in investing activities was $4.6 million, consisting of purchases of property and equipment.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Net Cash Provided by Financing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financing activities was $4.7 million, consisting of proceeds from exercises of stock options and proceeds from the issuance of common stock under the ESPP. During the six months ended June 30, 2025, net cash provided by financing activities was $5.7 million, consisting of proceeds from exercises of stock options and proceeds from the issuance of common stock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Contractual Commitments and 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Note 11 to the condensed consolidated financial statements included in Part I, Item 1 of this Quarterly Report on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have during the periods presented, and we do not currently have any off-balance sheet arrangements, such as structured finance, special purpose entities or variable interest entities.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significant accounting policies and estimates used in preparation of the unaudited condensed consolidated financial statements are described in our audited consolidated financial statements as of and for the year ended December 31, 2025, and the notes thereto, which are included in our Annual Report on Form 10-K dated February 26, 2026, or Annual Report, and in “Management’s Discussion and Analysis of Financial Condition and Results of Operations” included in our Annual Report. There have been no material changes to our significant accounting policies during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Note 2 to the condensed consolidated financial statements included in Part I, Item 1 of this Quarterly Report on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market risks related to interest rate, credit, foreign currency exchange rates, and effects of inflation are described in Part II, Item 7A, “Quantitative and Qualitative Disclosures About Market Risk”, of our 2025 Annual Report on Form 10-K. Our exposure to market risks has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June 30, 2026, our disclosure controls and procedures were effective at the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Limitations on Effectiveness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0"/>
        <w:ind w:left="0" w:right="0" w:firstLine="360"/>
        <w:jc w:val="left"/>
        <w:rPr/>
      </w:pPr>
      <w:r>
        <w:rPr>
          <w:rFonts w:ascii="Times New Roman;serif" w:hAnsi="Times New Roman;serif"/>
          <w:b w:val="false"/>
          <w:color w:val="000000"/>
          <w:sz w:val="20"/>
        </w:rPr>
        <w:t xml:space="preserve">On July 24, 2026, a putative securities class action complaint was filed in the U.S. District Court for the Northern District of California against us and certain of our current and former executive officers, captioned </w:t>
      </w:r>
      <w:r>
        <w:rPr>
          <w:rFonts w:ascii="Times New Roman;serif" w:hAnsi="Times New Roman;serif"/>
          <w:b w:val="false"/>
          <w:i/>
          <w:color w:val="000000"/>
          <w:sz w:val="20"/>
        </w:rPr>
        <w:t>Operating Engineers Construction Industry and Miscellaneous Pension Fund v. PROCEPT BioRobotics Corporation, et al.</w:t>
      </w:r>
      <w:r>
        <w:rPr>
          <w:rFonts w:ascii="Times New Roman;serif" w:hAnsi="Times New Roman;serif"/>
          <w:b w:val="false"/>
          <w:color w:val="000000"/>
          <w:sz w:val="20"/>
        </w:rPr>
        <w:t>, No. 5:26-cv-07691. The complaint purports to assert claims on behalf of persons who purchased or otherwise acquired our common stock between February 28, 2024 and February 25, 2026. The complaint asserts claims under Sections 10(b) and 20(a) of the Securities Exchange Act of 1934 and Rule 10b-5 promulgated thereunder, alleging that the defendants made materially false and misleading statements and omitted material adverse facts regarding, among other things, handpiece sales, procedure volumes, discounting practices and related financial guidance. The plaintiff seeks unspecified compensatory damages, reasonable costs and expenses, including counsel fees and expert fees and other relief.</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litigation is at an early stage, and we are unable to predict its outcome or reasonably estimate the amount or range of any potential loss. We believe that we have meritorious defenses and intend to defend the case vigorously. Failure to obtain a favorable resolution of this matter could have a material adverse effect on our business, results of operations or financial condition.</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from time to time, we may be involved in other legal proceedings arising in the ordinary course of our business. Regardless of outcome, litigation can have an adverse impact on us due to defense and settlement costs, diversion of management resources, negative publicity and reputation harm, and other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Quarterly Report on Form 10-Q, you should consider carefully the factors discussed in Part I, Item 1A, “Risk Factors” in our Annual Report on Form 10-K for the fiscal year ended December 31, 2025, filed with the SEC on February 26, 2026. The risks and uncertainties disclosed in such Annual Report and in this Quarterly Report could materially adversely affect our business, financial condition, cash flows or results of operations and thus our stock price. During the six months ended June 30, 2026, there were no material changes to our previously disclosed risk factors. Besides risk factors disclosed in the Annual Report and this Quarterly Report, additional risks and uncertainties not currently known or we currently deem to be immaterial may also materially adversely affect our business, financial condition or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risk factors may be important to understanding other statements in this Quarterly Report and should be read in conjunction with the unaudited condensed consolidated financial statements and related notes in Part I, Item 1, “Financial Statements” and Part I, Item 2, “Management’s Discussion and Analysis of Financial Condition and Results of Operations” of this Quarterly Report. Because of such risk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following exhibits are filed or furnished as a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86"/>
        <w:gridCol w:w="251"/>
        <w:gridCol w:w="253"/>
        <w:gridCol w:w="109"/>
        <w:gridCol w:w="109"/>
        <w:gridCol w:w="109"/>
        <w:gridCol w:w="3006"/>
        <w:gridCol w:w="2873"/>
        <w:gridCol w:w="2834"/>
        <w:gridCol w:w="109"/>
        <w:gridCol w:w="109"/>
        <w:gridCol w:w="157"/>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r>
              <w:rPr>
                <w:color w:val="000000"/>
              </w:rPr>
              <w:t xml:space="preserve"> </w:t>
            </w:r>
            <w:r>
              <w:rPr>
                <w:rFonts w:ascii="Times New Roman;serif" w:hAnsi="Times New Roman;serif"/>
                <w:b w:val="false"/>
                <w:color w:val="000000"/>
                <w:sz w:val="20"/>
              </w:rPr>
              <w:t>(incorporated by reference to Exhibit 3.1 to the registrant’s Current Report on Form 8-K filed on September 21,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20"/>
                  <w:u w:val="single"/>
                </w:rPr>
                <w:t>Amended and Restated Bylaws</w:t>
              </w:r>
            </w:hyperlink>
            <w:r>
              <w:rPr>
                <w:color w:val="000000"/>
              </w:rPr>
              <w:t xml:space="preserve"> </w:t>
            </w:r>
            <w:r>
              <w:rPr>
                <w:rFonts w:ascii="Times New Roman;serif" w:hAnsi="Times New Roman;serif"/>
                <w:b w:val="false"/>
                <w:color w:val="000000"/>
                <w:sz w:val="20"/>
              </w:rPr>
              <w:t>(incorporated by reference to Exhibit 3.2 to the registrant’s Current Report on Form 8-K filed on September 21,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ct-ex311soxcertification.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ct-ex312soxcertification.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ct-ex321soxcertification.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prct-ex322soxcertification.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Furnished herewith.</w:t>
      </w:r>
    </w:p>
    <w:p>
      <w:pPr>
        <w:pStyle w:val="TextBody"/>
        <w:bidi w:val="0"/>
        <w:spacing w:lineRule="auto" w:line="288" w:before="0" w:after="0"/>
        <w:ind w:left="0" w:right="0" w:hanging="360"/>
        <w:jc w:val="left"/>
        <w:rPr>
          <w:color w:val="000000"/>
        </w:rPr>
      </w:pPr>
      <w:r>
        <w:rPr>
          <w:color w:val="000000"/>
        </w:rPr>
        <w:t>    </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bl>
      <w:tblPr>
        <w:tblW w:w="467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3"/>
        <w:gridCol w:w="623"/>
        <w:gridCol w:w="623"/>
        <w:gridCol w:w="623"/>
        <w:gridCol w:w="623"/>
        <w:gridCol w:w="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PROCEPT BIOROBOTICS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Larry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Larry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Waters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319"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319" w:before="240" w:after="283"/>
        <w:jc w:val="left"/>
        <w:rPr>
          <w:rFonts w:ascii="Times New Roman;serif" w:hAnsi="Times New Roman;serif"/>
          <w:b w:val="false"/>
          <w:color w:val="000000"/>
          <w:sz w:val="20"/>
        </w:rPr>
      </w:pPr>
      <w:r>
        <w:rPr>
          <w:rFonts w:ascii="Times New Roman;serif" w:hAnsi="Times New Roman;serif"/>
          <w:b w:val="false"/>
          <w:color w:val="000000"/>
          <w:sz w:val="20"/>
        </w:rPr>
        <w:t>I, Larry Wood, Ph.D., certify that: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PROCEPT BioRobotics Corporation;</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17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59"/>
        <w:gridCol w:w="759"/>
        <w:gridCol w:w="10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Larry Wood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Larry Wood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Chief Executive Officer </w:t>
            </w:r>
          </w:p>
          <w:p>
            <w:pPr>
              <w:pStyle w:val="TableContents"/>
              <w:bidi w:val="0"/>
              <w:spacing w:lineRule="auto" w:line="319" w:before="0" w:after="3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(Principal Executive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319"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319" w:before="240" w:after="283"/>
        <w:jc w:val="left"/>
        <w:rPr>
          <w:rFonts w:ascii="Times New Roman;serif" w:hAnsi="Times New Roman;serif"/>
          <w:b w:val="false"/>
          <w:color w:val="000000"/>
          <w:sz w:val="20"/>
        </w:rPr>
      </w:pPr>
      <w:r>
        <w:rPr>
          <w:rFonts w:ascii="Times New Roman;serif" w:hAnsi="Times New Roman;serif"/>
          <w:b w:val="false"/>
          <w:color w:val="000000"/>
          <w:sz w:val="20"/>
        </w:rPr>
        <w:t>I, Kevin Waters, certify that: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PROCEPT BioRobotics Corporation;</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48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849"/>
        <w:gridCol w:w="849"/>
        <w:gridCol w:w="121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Waters</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Kevin Waters</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xml:space="preserve">(Principal Financial Officer and </w:t>
            </w:r>
          </w:p>
          <w:p>
            <w:pPr>
              <w:pStyle w:val="TableContents"/>
              <w:bidi w:val="0"/>
              <w:spacing w:lineRule="auto" w:line="319" w:before="0" w:after="30"/>
              <w:jc w:val="center"/>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319"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PROCEPT BioRobotics Corporation (the “Company”) on Form 10-Q for the period ending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17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759"/>
        <w:gridCol w:w="759"/>
        <w:gridCol w:w="107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Larry Wood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Larry Wood</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Chief Executive Officer </w:t>
            </w:r>
          </w:p>
          <w:p>
            <w:pPr>
              <w:pStyle w:val="TableContents"/>
              <w:bidi w:val="0"/>
              <w:spacing w:lineRule="auto" w:line="319" w:before="0" w:after="3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(Principal Executive Officer)</w:t>
            </w:r>
          </w:p>
        </w:tc>
      </w:tr>
    </w:tbl>
    <w:p>
      <w:pPr>
        <w:pStyle w:val="TextBody"/>
        <w:bidi w:val="0"/>
        <w:spacing w:lineRule="auto" w:line="319"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319"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319"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PROCEPT BioRobotics Corporation (the “Company”) on Form 10-Q for the period ending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9"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p>
      <w:pPr>
        <w:pStyle w:val="TextBody"/>
        <w:bidi w:val="0"/>
        <w:spacing w:before="0" w:after="0"/>
        <w:ind w:left="0" w:right="0" w:hanging="490"/>
        <w:jc w:val="left"/>
        <w:rPr/>
      </w:pPr>
      <w:r>
        <w:rPr/>
      </w:r>
    </w:p>
    <w:tbl>
      <w:tblPr>
        <w:tblW w:w="548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849"/>
        <w:gridCol w:w="849"/>
        <w:gridCol w:w="121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Waters</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Kevin Waters</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319"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xml:space="preserve">(Principal Financial Officer and </w:t>
            </w:r>
          </w:p>
          <w:p>
            <w:pPr>
              <w:pStyle w:val="TableContents"/>
              <w:bidi w:val="0"/>
              <w:spacing w:lineRule="auto" w:line="319" w:before="0" w:after="30"/>
              <w:jc w:val="center"/>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spacing w:lineRule="auto" w:line="319"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588978/000162828021018923/exhibit31-closing8xk.htm" TargetMode="External"/><Relationship Id="rId3" Type="http://schemas.openxmlformats.org/officeDocument/2006/relationships/hyperlink" Target="https://www.sec.gov/Archives/edgar/data/0001588978/000162828021018923/exhibit32-closing8x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13270</Words>
  <Characters>73992</Characters>
  <CharactersWithSpaces>86317</CharactersWithSpaces>
  <Paragraphs>1842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