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39675.xml.htm"/>
      <w:bookmarkStart w:id="1" w:name="kswkform4_17867396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Waters Kevin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PROCEPT BIOROBOTICS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BAYTECH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PROCEPT BioRobotics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180,728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40,851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40,851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40,851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are restricted stock units (RSUs). Each RSU represents a contingent right to receive one share of Common Stock. One-quarter of the RSUs shall vest on August 13, 2027, with one-sixteenth of the remaining RSUs vesting quarterly over 36 months, subject to the Reporting Person continuing as a service provider through such date. The grant is intended to be 50% of the value of the Reporting Person's expected 2027 grant, and made in lieu of such portion of the expected 2027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1/48th of the shares subject to the Stock Option shall vest monthly from the vesting commencement date of August 13, 2026, over a four year period, subject continued employment or service by the Reporting Person to the Issuer through the applicable vesting date. The grant is intended to be 50% of the value of the Reporting Person's expected 2027 grant, and made in lieu of such portion of the expected 2027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Stone, Attorney-in-Fact for Kevin Waters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3771" TargetMode="External"/><Relationship Id="rId5" Type="http://schemas.openxmlformats.org/officeDocument/2006/relationships/hyperlink" Target="http://www.sec.gov/cgi-bin/browse-edgar?action=getcompany&amp;CIK=0001588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743</Words>
  <Characters>3955</Characters>
  <CharactersWithSpaces>4616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