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PROCEPT BIOROBOTICS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jc w:val="center"/>
              <w:ind w:left="7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0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001-40797</w:t>
            </w:r>
          </w:p>
        </w:tc>
        <w:tc>
          <w:tcPr>
            <w:tcW w:w="2800" w:type="dxa"/>
            <w:vAlign w:val="bottom"/>
          </w:tcPr>
          <w:p>
            <w:pPr>
              <w:jc w:val="center"/>
              <w:ind w:right="822"/>
              <w:spacing w:after="0"/>
              <w:rPr>
                <w:sz w:val="20"/>
                <w:szCs w:val="20"/>
                <w:color w:val="auto"/>
              </w:rPr>
            </w:pPr>
            <w:r>
              <w:rPr>
                <w:rFonts w:ascii="Times New Roman" w:cs="Times New Roman" w:eastAsia="Times New Roman" w:hAnsi="Times New Roman"/>
                <w:sz w:val="18"/>
                <w:szCs w:val="18"/>
                <w:b w:val="1"/>
                <w:bCs w:val="1"/>
                <w:color w:val="auto"/>
                <w:w w:val="98"/>
              </w:rPr>
              <w:t>26-0199180</w:t>
            </w:r>
          </w:p>
        </w:tc>
      </w:tr>
      <w:tr>
        <w:trPr>
          <w:trHeight w:val="205"/>
        </w:trPr>
        <w:tc>
          <w:tcPr>
            <w:tcW w:w="2840" w:type="dxa"/>
            <w:vAlign w:val="bottom"/>
          </w:tcPr>
          <w:p>
            <w:pPr>
              <w:jc w:val="center"/>
              <w:ind w:left="7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00" w:type="dxa"/>
            <w:vAlign w:val="bottom"/>
          </w:tcPr>
          <w:p>
            <w:pPr>
              <w:ind w:left="23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right="8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left="7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0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right="8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501"/>
        </w:trPr>
        <w:tc>
          <w:tcPr>
            <w:tcW w:w="28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150 Baytech Drive</w:t>
            </w:r>
          </w:p>
        </w:tc>
        <w:tc>
          <w:tcPr>
            <w:tcW w:w="2800" w:type="dxa"/>
            <w:vAlign w:val="bottom"/>
          </w:tcPr>
          <w:p>
            <w:pPr>
              <w:spacing w:after="0"/>
              <w:rPr>
                <w:sz w:val="24"/>
                <w:szCs w:val="24"/>
                <w:color w:val="auto"/>
              </w:rPr>
            </w:pPr>
          </w:p>
        </w:tc>
      </w:tr>
      <w:tr>
        <w:trPr>
          <w:trHeight w:val="214"/>
        </w:trPr>
        <w:tc>
          <w:tcPr>
            <w:tcW w:w="284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 Jose, California 95134</w:t>
            </w:r>
          </w:p>
        </w:tc>
        <w:tc>
          <w:tcPr>
            <w:tcW w:w="2800" w:type="dxa"/>
            <w:vAlign w:val="bottom"/>
          </w:tcPr>
          <w:p>
            <w:pPr>
              <w:spacing w:after="0"/>
              <w:rPr>
                <w:sz w:val="18"/>
                <w:szCs w:val="18"/>
                <w:color w:val="auto"/>
              </w:rPr>
            </w:pPr>
          </w:p>
        </w:tc>
      </w:tr>
      <w:tr>
        <w:trPr>
          <w:trHeight w:val="190"/>
        </w:trPr>
        <w:tc>
          <w:tcPr>
            <w:tcW w:w="2840" w:type="dxa"/>
            <w:vAlign w:val="bottom"/>
          </w:tcPr>
          <w:p>
            <w:pPr>
              <w:spacing w:after="0"/>
              <w:rPr>
                <w:sz w:val="16"/>
                <w:szCs w:val="16"/>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800" w:type="dxa"/>
            <w:vAlign w:val="bottom"/>
          </w:tcPr>
          <w:p>
            <w:pPr>
              <w:spacing w:after="0"/>
              <w:rPr>
                <w:sz w:val="16"/>
                <w:szCs w:val="16"/>
                <w:color w:val="auto"/>
              </w:rPr>
            </w:pPr>
          </w:p>
        </w:tc>
      </w:tr>
      <w:tr>
        <w:trPr>
          <w:trHeight w:val="375"/>
        </w:trPr>
        <w:tc>
          <w:tcPr>
            <w:tcW w:w="28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232-7200</w:t>
            </w:r>
          </w:p>
        </w:tc>
        <w:tc>
          <w:tcPr>
            <w:tcW w:w="2800" w:type="dxa"/>
            <w:vAlign w:val="bottom"/>
          </w:tcPr>
          <w:p>
            <w:pPr>
              <w:spacing w:after="0"/>
              <w:rPr>
                <w:sz w:val="24"/>
                <w:szCs w:val="24"/>
                <w:color w:val="auto"/>
              </w:rPr>
            </w:pPr>
          </w:p>
        </w:tc>
      </w:tr>
      <w:tr>
        <w:trPr>
          <w:trHeight w:val="81"/>
        </w:trPr>
        <w:tc>
          <w:tcPr>
            <w:tcW w:w="284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r>
    </w:tbl>
    <w:p>
      <w:pPr>
        <w:spacing w:after="0" w:line="1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r>
      <w:tr>
        <w:trPr>
          <w:trHeight w:val="237"/>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 $0.00001 par value per share</w:t>
            </w:r>
          </w:p>
        </w:tc>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PRCT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of stockholders (the “Annual Meeting”) of PROCEPT BioRobotics Corporation (the “Company”) was held on June 9, 2026.</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All of the nominees for director listed in Proposal 1 in the Company’s Definitive Proxy Statement on Schedule 14A, as filed with the Securities and Exchange Commission on April 22, 2026 (the “Proxy Statement”), were elected to serve on the Company’s board of directors until the Company’s 2029 annual meeting of stockholders, or until his or her successor is duly elected or appointed, by the following vote:</w:t>
      </w:r>
    </w:p>
    <w:p>
      <w:pPr>
        <w:spacing w:after="0" w:line="253"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Nominee</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6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3"/>
        </w:trPr>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Antal Desai</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28,444,121</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8,511,185</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10,418,057</w:t>
            </w:r>
          </w:p>
        </w:tc>
      </w:tr>
      <w:tr>
        <w:trPr>
          <w:trHeight w:val="243"/>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Mary Garrett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29,150,610</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7,804,696</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10,418,057</w:t>
            </w:r>
          </w:p>
        </w:tc>
      </w:tr>
      <w:tr>
        <w:trPr>
          <w:trHeight w:val="27"/>
        </w:trPr>
        <w:tc>
          <w:tcPr>
            <w:tcW w:w="2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43"/>
        </w:trPr>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Frederic Moll, M.D.</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36,455,610</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499,696</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10,418,057</w:t>
            </w:r>
          </w:p>
        </w:tc>
      </w:tr>
      <w:tr>
        <w:trPr>
          <w:trHeight w:val="27"/>
        </w:trPr>
        <w:tc>
          <w:tcPr>
            <w:tcW w:w="26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Proposal 2 in the Proxy Statement, a proposal to ratify the selection of PricewaterhouseCoopers LLP as the Company’s independent registered public accounting firm for the year ending December 31, 2026, was approved by the following vote:</w:t>
      </w:r>
    </w:p>
    <w:p>
      <w:pPr>
        <w:spacing w:after="0" w:line="239" w:lineRule="exact"/>
        <w:rPr>
          <w:sz w:val="20"/>
          <w:szCs w:val="20"/>
          <w:color w:val="auto"/>
        </w:rPr>
      </w:pPr>
    </w:p>
    <w:tbl>
      <w:tblPr>
        <w:tblLayout w:type="fixed"/>
        <w:tblInd w:w="2200" w:type="dxa"/>
        <w:tblCellMar>
          <w:top w:w="0" w:type="dxa"/>
          <w:left w:w="0" w:type="dxa"/>
          <w:bottom w:w="0" w:type="dxa"/>
          <w:right w:w="0" w:type="dxa"/>
        </w:tblCellMar>
      </w:tblPr>
      <w:tr>
        <w:trPr>
          <w:trHeight w:val="238"/>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7"/>
        </w:trPr>
        <w:tc>
          <w:tcPr>
            <w:tcW w:w="2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21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47,328,539</w:t>
            </w:r>
          </w:p>
        </w:tc>
        <w:tc>
          <w:tcPr>
            <w:tcW w:w="23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21,691</w:t>
            </w:r>
          </w:p>
        </w:tc>
        <w:tc>
          <w:tcPr>
            <w:tcW w:w="100" w:type="dxa"/>
            <w:vAlign w:val="bottom"/>
            <w:shd w:val="clear" w:color="auto" w:fill="CCEEFF"/>
          </w:tcPr>
          <w:p>
            <w:pPr>
              <w:spacing w:after="0"/>
              <w:rPr>
                <w:sz w:val="20"/>
                <w:szCs w:val="20"/>
                <w:color w:val="auto"/>
              </w:rPr>
            </w:pPr>
          </w:p>
        </w:tc>
        <w:tc>
          <w:tcPr>
            <w:tcW w:w="22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23,133</w:t>
            </w:r>
          </w:p>
        </w:tc>
      </w:tr>
      <w:tr>
        <w:trPr>
          <w:trHeight w:val="27"/>
        </w:trPr>
        <w:tc>
          <w:tcPr>
            <w:tcW w:w="21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Proposal 3 in the Proxy Statement, a proposal to approve, on a non-binding advisory basis, the compensation of the Company's named executive officers, was approved by the following vote: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1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34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3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1100" w:type="dxa"/>
            <w:vAlign w:val="bottom"/>
          </w:tcPr>
          <w:p>
            <w:pPr>
              <w:spacing w:after="0"/>
              <w:rPr>
                <w:sz w:val="21"/>
                <w:szCs w:val="21"/>
                <w:color w:val="auto"/>
              </w:rPr>
            </w:pPr>
          </w:p>
        </w:tc>
        <w:tc>
          <w:tcPr>
            <w:tcW w:w="2200" w:type="dxa"/>
            <w:vAlign w:val="bottom"/>
            <w:tcBorders>
              <w:top w:val="single" w:sz="8" w:color="auto"/>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26,984,867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20" w:type="dxa"/>
            <w:vAlign w:val="bottom"/>
            <w:tcBorders>
              <w:top w:val="single" w:sz="8" w:color="auto"/>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9,924,704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45,735</w:t>
            </w:r>
          </w:p>
        </w:tc>
        <w:tc>
          <w:tcPr>
            <w:tcW w:w="2360" w:type="dxa"/>
            <w:vAlign w:val="bottom"/>
            <w:tcBorders>
              <w:top w:val="single" w:sz="8" w:color="auto"/>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10,418,057</w:t>
            </w:r>
          </w:p>
        </w:tc>
        <w:tc>
          <w:tcPr>
            <w:tcW w:w="1080" w:type="dxa"/>
            <w:vAlign w:val="bottom"/>
          </w:tcPr>
          <w:p>
            <w:pPr>
              <w:spacing w:after="0"/>
              <w:rPr>
                <w:sz w:val="21"/>
                <w:szCs w:val="21"/>
                <w:color w:val="auto"/>
              </w:rPr>
            </w:pPr>
          </w:p>
        </w:tc>
      </w:tr>
      <w:tr>
        <w:trPr>
          <w:trHeight w:val="1735"/>
        </w:trPr>
        <w:tc>
          <w:tcPr>
            <w:tcW w:w="11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b w:val="1"/>
          <w:bCs w:val="1"/>
          <w:color w:val="auto"/>
        </w:rPr>
        <w:t>PROCEPT BIOROBOTICS CORPORATION</w:t>
      </w:r>
    </w:p>
    <w:p>
      <w:pPr>
        <w:spacing w:after="0" w:line="324" w:lineRule="exact"/>
        <w:rPr>
          <w:sz w:val="20"/>
          <w:szCs w:val="20"/>
          <w:color w:val="auto"/>
        </w:rPr>
      </w:pPr>
    </w:p>
    <w:p>
      <w:pPr>
        <w:ind w:left="20"/>
        <w:spacing w:after="0"/>
        <w:tabs>
          <w:tab w:leader="none" w:pos="6120" w:val="left"/>
          <w:tab w:leader="none" w:pos="660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Alaleh Nouri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34290</wp:posOffset>
            </wp:positionV>
            <wp:extent cx="2940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Alaleh Nouri</w:t>
      </w:r>
    </w:p>
    <w:p>
      <w:pPr>
        <w:spacing w:after="0" w:line="6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EVP, Chief Legal Officer and Secretary</w:t>
      </w:r>
    </w:p>
    <w:sectPr>
      <w:pgSz w:w="11900" w:h="16838" w:orient="portrait"/>
      <w:cols w:equalWidth="0" w:num="1">
        <w:col w:w="11220"/>
      </w:cols>
      <w:pgMar w:left="320" w:top="141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2026-06-10T15:35:54Z</dcterms:created>
  <dcterms:modified xsi:type="dcterms:W3CDTF">2026-06-10T15:35:54Z</dcterms:modified>
</cp:coreProperties>
</file>